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DB149">
      <w:pPr>
        <w:spacing w:before="200" w:after="80"/>
        <w:jc w:val="center"/>
      </w:pPr>
      <w:r>
        <w:rPr>
          <w:rFonts w:ascii="Arial" w:hAnsi="Arial" w:eastAsia="Arial" w:cs="Arial"/>
          <w:b/>
          <w:bCs/>
          <w:color w:val="1F3864"/>
          <w:sz w:val="40"/>
          <w:szCs w:val="40"/>
        </w:rPr>
        <w:t>DÉCLARATION D’APPLICABILITÉ (SoA) — ISO/IEC 42001:2023</w:t>
      </w:r>
    </w:p>
    <w:p w14:paraId="713BA832">
      <w:pPr>
        <w:spacing w:before="0" w:after="60"/>
        <w:jc w:val="center"/>
      </w:pPr>
      <w:r>
        <w:rPr>
          <w:rFonts w:ascii="Arial" w:hAnsi="Arial" w:eastAsia="Arial" w:cs="Arial"/>
          <w:color w:val="2E4057"/>
          <w:sz w:val="22"/>
          <w:szCs w:val="22"/>
        </w:rPr>
        <w:t>SYNTHEX Corporation Agentique — 38 Contrôles Annexe A — Gap Assessment complet</w:t>
      </w:r>
    </w:p>
    <w:p w14:paraId="2665E4CB">
      <w:pPr>
        <w:spacing w:before="0" w:after="200"/>
        <w:jc w:val="center"/>
      </w:pPr>
      <w:r>
        <w:rPr>
          <w:rFonts w:ascii="Arial" w:hAnsi="Arial" w:eastAsia="Arial" w:cs="Arial"/>
          <w:color w:val="666666"/>
          <w:sz w:val="18"/>
          <w:szCs w:val="18"/>
        </w:rPr>
        <w:t>SYNTHEX-SOA-v1.0  |  2026-05-29  |  Approuvé : Dr Sylvain Gagné, Ph.</w:t>
      </w:r>
      <w:r>
        <w:rPr>
          <w:rFonts w:hint="default" w:cs="Arial"/>
          <w:color w:val="666666"/>
          <w:sz w:val="18"/>
          <w:szCs w:val="18"/>
          <w:lang w:val="fr-FR"/>
        </w:rPr>
        <w:t xml:space="preserve"> </w:t>
      </w:r>
      <w:r>
        <w:rPr>
          <w:rFonts w:ascii="Arial" w:hAnsi="Arial" w:eastAsia="Arial" w:cs="Arial"/>
          <w:color w:val="666666"/>
          <w:sz w:val="18"/>
          <w:szCs w:val="18"/>
        </w:rPr>
        <w:t>D., Président &amp; Porteur d’imputabilité finale</w:t>
      </w:r>
    </w:p>
    <w:tbl>
      <w:tblPr>
        <w:tblStyle w:val="9"/>
        <w:tblW w:w="14411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24"/>
        <w:gridCol w:w="3020"/>
        <w:gridCol w:w="3020"/>
        <w:gridCol w:w="3020"/>
        <w:gridCol w:w="2427"/>
      </w:tblGrid>
      <w:tr w14:paraId="0E52AC77">
        <w:tc>
          <w:tcPr>
            <w:tcW w:w="2924" w:type="dxa"/>
            <w:tcBorders>
              <w:top w:val="single" w:color="1F3864" w:sz="6" w:space="0"/>
              <w:left w:val="single" w:color="1F3864" w:sz="6" w:space="0"/>
              <w:bottom w:val="single" w:color="1F3864" w:sz="6" w:space="0"/>
              <w:right w:val="single" w:color="1F3864" w:sz="6" w:space="0"/>
            </w:tcBorders>
            <w:shd w:val="clear" w:color="auto" w:fill="D8F0D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F19A530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555555"/>
                <w:sz w:val="18"/>
                <w:szCs w:val="18"/>
              </w:rPr>
              <w:t>Contrôles applicables</w:t>
            </w:r>
          </w:p>
          <w:p w14:paraId="55C55412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206020"/>
                <w:sz w:val="32"/>
                <w:szCs w:val="32"/>
              </w:rPr>
              <w:t>38 / 38</w:t>
            </w:r>
          </w:p>
        </w:tc>
        <w:tc>
          <w:tcPr>
            <w:tcW w:w="3020" w:type="dxa"/>
            <w:tcBorders>
              <w:top w:val="single" w:color="1F3864" w:sz="6" w:space="0"/>
              <w:left w:val="single" w:color="1F3864" w:sz="6" w:space="0"/>
              <w:bottom w:val="single" w:color="1F3864" w:sz="6" w:space="0"/>
              <w:right w:val="single" w:color="1F3864" w:sz="6" w:space="0"/>
            </w:tcBorders>
            <w:shd w:val="clear" w:color="auto" w:fill="D8F0D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4782330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555555"/>
                <w:sz w:val="18"/>
                <w:szCs w:val="18"/>
              </w:rPr>
              <w:t>Conformes</w:t>
            </w:r>
          </w:p>
          <w:p w14:paraId="52D8A5C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206020"/>
                <w:sz w:val="32"/>
                <w:szCs w:val="32"/>
              </w:rPr>
              <w:t>35 / 38</w:t>
            </w:r>
          </w:p>
        </w:tc>
        <w:tc>
          <w:tcPr>
            <w:tcW w:w="3020" w:type="dxa"/>
            <w:tcBorders>
              <w:top w:val="single" w:color="1F3864" w:sz="6" w:space="0"/>
              <w:left w:val="single" w:color="1F3864" w:sz="6" w:space="0"/>
              <w:bottom w:val="single" w:color="1F3864" w:sz="6" w:space="0"/>
              <w:right w:val="single" w:color="1F3864" w:sz="6" w:space="0"/>
            </w:tcBorders>
            <w:shd w:val="clear" w:color="auto" w:fill="FFF0C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B2D43FD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555555"/>
                <w:sz w:val="18"/>
                <w:szCs w:val="18"/>
              </w:rPr>
              <w:t>Partiels</w:t>
            </w:r>
          </w:p>
          <w:p w14:paraId="7B86D758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806000"/>
                <w:sz w:val="32"/>
                <w:szCs w:val="32"/>
              </w:rPr>
              <w:t>0 / 38</w:t>
            </w:r>
          </w:p>
        </w:tc>
        <w:tc>
          <w:tcPr>
            <w:tcW w:w="3020" w:type="dxa"/>
            <w:tcBorders>
              <w:top w:val="single" w:color="1F3864" w:sz="6" w:space="0"/>
              <w:left w:val="single" w:color="1F3864" w:sz="6" w:space="0"/>
              <w:bottom w:val="single" w:color="1F3864" w:sz="6" w:space="0"/>
              <w:right w:val="single" w:color="1F3864" w:sz="6" w:space="0"/>
            </w:tcBorders>
            <w:shd w:val="clear" w:color="auto" w:fill="FFE0E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D221ECA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555555"/>
                <w:sz w:val="18"/>
                <w:szCs w:val="18"/>
              </w:rPr>
              <w:t>Gaps identifiés</w:t>
            </w:r>
          </w:p>
          <w:p w14:paraId="453AA183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CC0000"/>
                <w:sz w:val="32"/>
                <w:szCs w:val="32"/>
              </w:rPr>
              <w:t>3 / 38</w:t>
            </w:r>
          </w:p>
        </w:tc>
        <w:tc>
          <w:tcPr>
            <w:tcW w:w="2427" w:type="dxa"/>
            <w:tcBorders>
              <w:top w:val="single" w:color="1F3864" w:sz="6" w:space="0"/>
              <w:left w:val="single" w:color="1F3864" w:sz="6" w:space="0"/>
              <w:bottom w:val="single" w:color="1F3864" w:sz="6" w:space="0"/>
              <w:right w:val="single" w:color="1F3864" w:sz="6" w:space="0"/>
            </w:tcBorders>
            <w:shd w:val="clear" w:color="auto" w:fill="D8F0D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4E8B9C6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555555"/>
                <w:sz w:val="18"/>
                <w:szCs w:val="18"/>
              </w:rPr>
              <w:t>Score global</w:t>
            </w:r>
          </w:p>
          <w:p w14:paraId="7974E94A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1F3864"/>
                <w:sz w:val="32"/>
                <w:szCs w:val="32"/>
              </w:rPr>
              <w:t>92%</w:t>
            </w:r>
          </w:p>
        </w:tc>
      </w:tr>
    </w:tbl>
    <w:p w14:paraId="045CB855">
      <w:pPr>
        <w:spacing w:before="60" w:after="60"/>
      </w:pPr>
    </w:p>
    <w:tbl>
      <w:tblPr>
        <w:tblStyle w:val="9"/>
        <w:tblW w:w="1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8"/>
        <w:gridCol w:w="2932"/>
        <w:gridCol w:w="1183"/>
        <w:gridCol w:w="1531"/>
        <w:gridCol w:w="3129"/>
        <w:gridCol w:w="1490"/>
        <w:gridCol w:w="3537"/>
      </w:tblGrid>
      <w:tr w14:paraId="68CAD1F4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ED9078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Ref.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8BF521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Contrôle ISO 42001:2023 Annexe A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8A1C44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Statut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863A07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Implémentation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1E5202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Evidence / Document SYNTHEX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4FBD6B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Responsable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2A9A6D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Gap</w:t>
            </w:r>
          </w:p>
        </w:tc>
      </w:tr>
      <w:tr w14:paraId="6A60BCC2">
        <w:tc>
          <w:tcPr>
            <w:tcW w:w="14500" w:type="dxa"/>
            <w:gridSpan w:val="7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F53C3A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A.2  Politiques liées a l’IA</w:t>
            </w:r>
          </w:p>
        </w:tc>
      </w:tr>
      <w:tr w14:paraId="00DA7E61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4B2624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A.2.2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B7A6EC">
            <w:r>
              <w:rPr>
                <w:rFonts w:ascii="Arial" w:hAnsi="Arial" w:eastAsia="Arial" w:cs="Arial"/>
                <w:sz w:val="17"/>
                <w:szCs w:val="17"/>
              </w:rPr>
              <w:t>Politique d’IA approuvée et communiquée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882DE7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1B708B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4F1887">
            <w:r>
              <w:rPr>
                <w:rFonts w:ascii="Arial" w:hAnsi="Arial" w:eastAsia="Arial" w:cs="Arial"/>
                <w:sz w:val="16"/>
                <w:szCs w:val="16"/>
              </w:rPr>
              <w:t>SYNTHEX-POL-IA-v1.0 (2026-05-29)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2FC31D">
            <w:r>
              <w:rPr>
                <w:rFonts w:ascii="Arial" w:hAnsi="Arial" w:eastAsia="Arial" w:cs="Arial"/>
                <w:sz w:val="16"/>
                <w:szCs w:val="16"/>
              </w:rPr>
              <w:t>Président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12D71F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63F657F8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F5651A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A.2.3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346342">
            <w:r>
              <w:rPr>
                <w:rFonts w:ascii="Arial" w:hAnsi="Arial" w:eastAsia="Arial" w:cs="Arial"/>
                <w:sz w:val="17"/>
                <w:szCs w:val="17"/>
              </w:rPr>
              <w:t>Rôles et responsabilités IA définis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F1B0FA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C01673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5A1737">
            <w:r>
              <w:rPr>
                <w:rFonts w:ascii="Arial" w:hAnsi="Arial" w:eastAsia="Arial" w:cs="Arial"/>
                <w:sz w:val="16"/>
                <w:szCs w:val="16"/>
              </w:rPr>
              <w:t>SYNTHEX-POL-IA-v1.0 Section 5; CGA v2.0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0EF1B9">
            <w:r>
              <w:rPr>
                <w:rFonts w:ascii="Arial" w:hAnsi="Arial" w:eastAsia="Arial" w:cs="Arial"/>
                <w:sz w:val="16"/>
                <w:szCs w:val="16"/>
              </w:rPr>
              <w:t>Président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B3DE79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091BE02C">
        <w:tc>
          <w:tcPr>
            <w:tcW w:w="14500" w:type="dxa"/>
            <w:gridSpan w:val="7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034BA8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A.3  Organisation interne</w:t>
            </w:r>
          </w:p>
        </w:tc>
      </w:tr>
      <w:tr w14:paraId="24C8B210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275B2E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A.3.2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0CDBE6">
            <w:r>
              <w:rPr>
                <w:rFonts w:ascii="Arial" w:hAnsi="Arial" w:eastAsia="Arial" w:cs="Arial"/>
                <w:sz w:val="17"/>
                <w:szCs w:val="17"/>
              </w:rPr>
              <w:t>Responsabilité IA attribuée a la direction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893CEC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1F2B6C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A00576">
            <w:r>
              <w:rPr>
                <w:rFonts w:ascii="Arial" w:hAnsi="Arial" w:eastAsia="Arial" w:cs="Arial"/>
                <w:sz w:val="16"/>
                <w:szCs w:val="16"/>
              </w:rPr>
              <w:t>Président = Porteur d’imputabilité fina</w:t>
            </w:r>
            <w:bookmarkStart w:id="0" w:name="_GoBack"/>
            <w:r>
              <w:rPr>
                <w:rFonts w:ascii="Arial" w:hAnsi="Arial" w:eastAsia="Arial" w:cs="Arial"/>
                <w:sz w:val="16"/>
                <w:szCs w:val="16"/>
              </w:rPr>
              <w:t>l</w:t>
            </w:r>
            <w:bookmarkEnd w:id="0"/>
            <w:r>
              <w:rPr>
                <w:rFonts w:ascii="Arial" w:hAnsi="Arial" w:eastAsia="Arial" w:cs="Arial"/>
                <w:sz w:val="16"/>
                <w:szCs w:val="16"/>
              </w:rPr>
              <w:t>e; CGA v2.0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DD63A2">
            <w:r>
              <w:rPr>
                <w:rFonts w:ascii="Arial" w:hAnsi="Arial" w:eastAsia="Arial" w:cs="Arial"/>
                <w:sz w:val="16"/>
                <w:szCs w:val="16"/>
              </w:rPr>
              <w:t>Président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CC591F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51CC6222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BC2FD8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A.3.3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188089">
            <w:r>
              <w:rPr>
                <w:rFonts w:ascii="Arial" w:hAnsi="Arial" w:eastAsia="Arial" w:cs="Arial"/>
                <w:sz w:val="17"/>
                <w:szCs w:val="17"/>
              </w:rPr>
              <w:t>Formation et sensibilisation IA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31A520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2F5E20">
            <w:r>
              <w:rPr>
                <w:rFonts w:ascii="Arial" w:hAnsi="Arial" w:eastAsia="Arial" w:cs="Arial"/>
                <w:sz w:val="16"/>
                <w:szCs w:val="16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686D64">
            <w:r>
              <w:rPr>
                <w:rFonts w:ascii="Arial" w:hAnsi="Arial"/>
                <w:sz w:val="16"/>
              </w:rPr>
              <w:t>Programme formel de formation IA (SYNTHEX-FORM-IA-v1.0) : modules gouvernance ISO 42001, risques GenAI/NIST, Loi 25/LPRPDE, seuils de véto CGA ; intégration obligatoire avant accès aux consoles d’agents ; attestations horodatées (PostgreSQL, 6 ans).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47F478">
            <w:r>
              <w:rPr>
                <w:rFonts w:ascii="Arial" w:hAnsi="Arial" w:eastAsia="Arial" w:cs="Arial"/>
                <w:sz w:val="16"/>
                <w:szCs w:val="16"/>
              </w:rPr>
              <w:t>Président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62386A">
            <w:r>
              <w:rPr>
                <w:rFonts w:ascii="Arial" w:hAnsi="Arial" w:eastAsia="Arial" w:cs="Arial"/>
                <w:b/>
                <w:bCs/>
                <w:color w:val="806000"/>
                <w:sz w:val="16"/>
                <w:szCs w:val="16"/>
              </w:rPr>
              <w:t>Conforme</w:t>
            </w:r>
          </w:p>
        </w:tc>
      </w:tr>
      <w:tr w14:paraId="15FEBF1F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DAFB1C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A.3.4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B84F2D">
            <w:r>
              <w:rPr>
                <w:rFonts w:ascii="Arial" w:hAnsi="Arial" w:eastAsia="Arial" w:cs="Arial"/>
                <w:sz w:val="17"/>
                <w:szCs w:val="17"/>
              </w:rPr>
              <w:t>Processus de signalement des préoccupations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07A2DC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29C977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98FF39">
            <w:r>
              <w:rPr>
                <w:rFonts w:ascii="Arial" w:hAnsi="Arial" w:eastAsia="Arial" w:cs="Arial"/>
                <w:sz w:val="16"/>
                <w:szCs w:val="16"/>
              </w:rPr>
              <w:t>Escalade THEMIS -&gt; président; audit_trail LangGraph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28A920">
            <w:r>
              <w:rPr>
                <w:rFonts w:ascii="Arial" w:hAnsi="Arial" w:eastAsia="Arial" w:cs="Arial"/>
                <w:sz w:val="16"/>
                <w:szCs w:val="16"/>
              </w:rPr>
              <w:t>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50EA8D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25EFCD91">
        <w:tc>
          <w:tcPr>
            <w:tcW w:w="14500" w:type="dxa"/>
            <w:gridSpan w:val="7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726B5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A.4  Ressources pour les systèmes d’IA</w:t>
            </w:r>
          </w:p>
        </w:tc>
      </w:tr>
      <w:tr w14:paraId="2DFEA41F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FD36C2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A.4.2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8AEA8A">
            <w:r>
              <w:rPr>
                <w:rFonts w:ascii="Arial" w:hAnsi="Arial" w:eastAsia="Arial" w:cs="Arial"/>
                <w:sz w:val="17"/>
                <w:szCs w:val="17"/>
              </w:rPr>
              <w:t>Ressources matérielles et logicielles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695A16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B758F2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43EC8B">
            <w:r>
              <w:rPr>
                <w:rFonts w:ascii="Arial" w:hAnsi="Arial" w:eastAsia="Arial" w:cs="Arial"/>
                <w:sz w:val="16"/>
                <w:szCs w:val="16"/>
              </w:rPr>
              <w:t>Stack n8n/LangGraph/Pinecone documentée; AI Gateway; SYNTHEX-IMPL-GATEWAY-v1.0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DB0D53">
            <w:r>
              <w:rPr>
                <w:rFonts w:ascii="Arial" w:hAnsi="Arial" w:eastAsia="Arial" w:cs="Arial"/>
                <w:sz w:val="16"/>
                <w:szCs w:val="16"/>
              </w:rPr>
              <w:t>VULCAN / Président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70AA1F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0BA7E8CB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03C4FB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A.4.3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44F4E5">
            <w:r>
              <w:rPr>
                <w:rFonts w:ascii="Arial" w:hAnsi="Arial" w:eastAsia="Arial" w:cs="Arial"/>
                <w:sz w:val="17"/>
                <w:szCs w:val="17"/>
              </w:rPr>
              <w:t>Compétences requises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AF7E3F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5C156F">
            <w:r>
              <w:rPr>
                <w:rFonts w:ascii="Arial" w:hAnsi="Arial" w:eastAsia="Arial" w:cs="Arial"/>
                <w:sz w:val="16"/>
                <w:szCs w:val="16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02694D">
            <w:r>
              <w:rPr>
                <w:rFonts w:ascii="Arial" w:hAnsi="Arial"/>
                <w:sz w:val="16"/>
              </w:rPr>
              <w:t>Matrice de compétences par rôle (SYNTHEX-COMP-v1.0) : gouvernance, supervision technique, conformité ; compétences du Président cartographiées ; critères applicables à tout futur collaborateur ou prestataire.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9AE74A">
            <w:r>
              <w:rPr>
                <w:rFonts w:ascii="Arial" w:hAnsi="Arial" w:eastAsia="Arial" w:cs="Arial"/>
                <w:sz w:val="16"/>
                <w:szCs w:val="16"/>
              </w:rPr>
              <w:t>Président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4E4496">
            <w:r>
              <w:rPr>
                <w:rFonts w:ascii="Arial" w:hAnsi="Arial" w:eastAsia="Arial" w:cs="Arial"/>
                <w:b/>
                <w:bCs/>
                <w:color w:val="806000"/>
                <w:sz w:val="16"/>
                <w:szCs w:val="16"/>
              </w:rPr>
              <w:t>Conforme</w:t>
            </w:r>
          </w:p>
        </w:tc>
      </w:tr>
      <w:tr w14:paraId="3A08540B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7DA22F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A.4.4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74FC58">
            <w:r>
              <w:rPr>
                <w:rFonts w:ascii="Arial" w:hAnsi="Arial" w:eastAsia="Arial" w:cs="Arial"/>
                <w:sz w:val="17"/>
                <w:szCs w:val="17"/>
              </w:rPr>
              <w:t>Conscience et connaissances IA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D3D688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49E89F">
            <w:r>
              <w:rPr>
                <w:rFonts w:ascii="Arial" w:hAnsi="Arial" w:eastAsia="Arial" w:cs="Arial"/>
                <w:sz w:val="16"/>
                <w:szCs w:val="16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006942">
            <w:r>
              <w:rPr>
                <w:rFonts w:ascii="Arial" w:hAnsi="Arial"/>
                <w:sz w:val="16"/>
              </w:rPr>
              <w:t>Programme annuel de sensibilisation : veille réglementaire trimestrielle (EU AI Act, C-27/LIAD, ISO) par APOLLO/THEMIS ; note annuelle diffusée et archivée ; enseignements des incidents (A.9.5) intégrés.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130EA5">
            <w:r>
              <w:rPr>
                <w:rFonts w:ascii="Arial" w:hAnsi="Arial" w:eastAsia="Arial" w:cs="Arial"/>
                <w:sz w:val="16"/>
                <w:szCs w:val="16"/>
              </w:rPr>
              <w:t>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CD216C">
            <w:r>
              <w:rPr>
                <w:rFonts w:ascii="Arial" w:hAnsi="Arial" w:eastAsia="Arial" w:cs="Arial"/>
                <w:b/>
                <w:bCs/>
                <w:color w:val="806000"/>
                <w:sz w:val="16"/>
                <w:szCs w:val="16"/>
              </w:rPr>
              <w:t>Conforme</w:t>
            </w:r>
          </w:p>
        </w:tc>
      </w:tr>
      <w:tr w14:paraId="25F4288F">
        <w:tc>
          <w:tcPr>
            <w:tcW w:w="14500" w:type="dxa"/>
            <w:gridSpan w:val="7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BB124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A.5  Évaluation des impacts des systèmes d’IA</w:t>
            </w:r>
          </w:p>
        </w:tc>
      </w:tr>
      <w:tr w14:paraId="39A1CB3F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ACF5BB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A.5.2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90368F">
            <w:r>
              <w:rPr>
                <w:rFonts w:ascii="Arial" w:hAnsi="Arial" w:eastAsia="Arial" w:cs="Arial"/>
                <w:sz w:val="17"/>
                <w:szCs w:val="17"/>
              </w:rPr>
              <w:t>Processus d’évaluation d’impact (AIIA)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C02E1F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19885B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510FF5">
            <w:r>
              <w:rPr>
                <w:rFonts w:ascii="Arial" w:hAnsi="Arial" w:eastAsia="Arial" w:cs="Arial"/>
                <w:sz w:val="16"/>
                <w:szCs w:val="16"/>
              </w:rPr>
              <w:t>SYNTHEX-AIIA-v1.0 (2026-05-29); revue annuelle obligatoire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E429E2">
            <w:r>
              <w:rPr>
                <w:rFonts w:ascii="Arial" w:hAnsi="Arial" w:eastAsia="Arial" w:cs="Arial"/>
                <w:sz w:val="16"/>
                <w:szCs w:val="16"/>
              </w:rPr>
              <w:t>Président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4A990D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5EC7F2DB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E4A565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A.5.3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4C1061">
            <w:r>
              <w:rPr>
                <w:rFonts w:ascii="Arial" w:hAnsi="Arial" w:eastAsia="Arial" w:cs="Arial"/>
                <w:sz w:val="17"/>
                <w:szCs w:val="17"/>
              </w:rPr>
              <w:t>Évaluation des impacts sur les individus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1F1ACD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CAEF49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B8153A">
            <w:r>
              <w:rPr>
                <w:rFonts w:ascii="Arial" w:hAnsi="Arial" w:eastAsia="Arial" w:cs="Arial"/>
                <w:sz w:val="16"/>
                <w:szCs w:val="16"/>
              </w:rPr>
              <w:t>SYNTHEX-AIIA-v1.0 Section 4 (populations affectées)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008CFF">
            <w:r>
              <w:rPr>
                <w:rFonts w:ascii="Arial" w:hAnsi="Arial" w:eastAsia="Arial" w:cs="Arial"/>
                <w:sz w:val="16"/>
                <w:szCs w:val="16"/>
              </w:rPr>
              <w:t>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0588E0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4AA21F98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6C03FD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A.5.4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1A12EA">
            <w:r>
              <w:rPr>
                <w:rFonts w:ascii="Arial" w:hAnsi="Arial" w:eastAsia="Arial" w:cs="Arial"/>
                <w:sz w:val="17"/>
                <w:szCs w:val="17"/>
              </w:rPr>
              <w:t>Évaluation des impacts societaux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7CE9DA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EAC1F9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3631DA">
            <w:r>
              <w:rPr>
                <w:rFonts w:ascii="Arial" w:hAnsi="Arial" w:eastAsia="Arial" w:cs="Arial"/>
                <w:sz w:val="16"/>
                <w:szCs w:val="16"/>
              </w:rPr>
              <w:t>SYNTHEX-AIIA-v1.0 Sections 2-4; 12 risques GenAI NIST évalués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A612B9">
            <w:r>
              <w:rPr>
                <w:rFonts w:ascii="Arial" w:hAnsi="Arial" w:eastAsia="Arial" w:cs="Arial"/>
                <w:sz w:val="16"/>
                <w:szCs w:val="16"/>
              </w:rPr>
              <w:t>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4C4505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46E7A35C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CF7303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A.5.5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C8D2CE">
            <w:r>
              <w:rPr>
                <w:rFonts w:ascii="Arial" w:hAnsi="Arial" w:eastAsia="Arial" w:cs="Arial"/>
                <w:sz w:val="17"/>
                <w:szCs w:val="17"/>
              </w:rPr>
              <w:t>Évaluation des impacts sur les tiers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FE56AA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7502E5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0AB761">
            <w:r>
              <w:rPr>
                <w:rFonts w:ascii="Arial" w:hAnsi="Arial" w:eastAsia="Arial" w:cs="Arial"/>
                <w:sz w:val="16"/>
                <w:szCs w:val="16"/>
              </w:rPr>
              <w:t>SYNTHEX-AIIA-v1.0 Section 4 (tiers, fournisseurs, partenaires)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758066">
            <w:r>
              <w:rPr>
                <w:rFonts w:ascii="Arial" w:hAnsi="Arial" w:eastAsia="Arial" w:cs="Arial"/>
                <w:sz w:val="16"/>
                <w:szCs w:val="16"/>
              </w:rPr>
              <w:t>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D8B8C7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32BCA580">
        <w:tc>
          <w:tcPr>
            <w:tcW w:w="14500" w:type="dxa"/>
            <w:gridSpan w:val="7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F53DB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A.6  Cycle de vie des systèmes d’IA</w:t>
            </w:r>
          </w:p>
        </w:tc>
      </w:tr>
      <w:tr w14:paraId="26186716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6C85D1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A.6.2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8823D4">
            <w:r>
              <w:rPr>
                <w:rFonts w:ascii="Arial" w:hAnsi="Arial" w:eastAsia="Arial" w:cs="Arial"/>
                <w:sz w:val="17"/>
                <w:szCs w:val="17"/>
              </w:rPr>
              <w:t>Spécification des systèmes d’IA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B1ABD6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5AB311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10AF5B">
            <w:r>
              <w:rPr>
                <w:rFonts w:ascii="Arial" w:hAnsi="Arial" w:eastAsia="Arial" w:cs="Arial"/>
                <w:sz w:val="16"/>
                <w:szCs w:val="16"/>
              </w:rPr>
              <w:t>SYNTHEX-CTR-AGENTS-v1.0 (12 contrats JSON); schémas I/O stricts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45EB71">
            <w:r>
              <w:rPr>
                <w:rFonts w:ascii="Arial" w:hAnsi="Arial" w:eastAsia="Arial" w:cs="Arial"/>
                <w:sz w:val="16"/>
                <w:szCs w:val="16"/>
              </w:rPr>
              <w:t>PROMETHEUS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2DC442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7DA54D3C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4E728C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A.6.3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79E250">
            <w:r>
              <w:rPr>
                <w:rFonts w:ascii="Arial" w:hAnsi="Arial" w:eastAsia="Arial" w:cs="Arial"/>
                <w:sz w:val="17"/>
                <w:szCs w:val="17"/>
              </w:rPr>
              <w:t>Conception et architecture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46F3F5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C7B46A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D3A862">
            <w:r>
              <w:rPr>
                <w:rFonts w:ascii="Arial" w:hAnsi="Arial" w:eastAsia="Arial" w:cs="Arial"/>
                <w:sz w:val="16"/>
                <w:szCs w:val="16"/>
              </w:rPr>
              <w:t>SYNTHEX-ARCH-OUR-v1.0; SYNTHEX-IMPL-LANGGRAPH-v1.0; architecture 4 couches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B4EDC3">
            <w:r>
              <w:rPr>
                <w:rFonts w:ascii="Arial" w:hAnsi="Arial" w:eastAsia="Arial" w:cs="Arial"/>
                <w:sz w:val="16"/>
                <w:szCs w:val="16"/>
              </w:rPr>
              <w:t>PROMETHEUS / VULCAN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4C6957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5AC7855B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6D108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A.6.4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B07E37">
            <w:r>
              <w:rPr>
                <w:rFonts w:ascii="Arial" w:hAnsi="Arial" w:eastAsia="Arial" w:cs="Arial"/>
                <w:sz w:val="17"/>
                <w:szCs w:val="17"/>
              </w:rPr>
              <w:t>Données pour les systèmes d’IA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CFB1F3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B1C34B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7052BF">
            <w:r>
              <w:rPr>
                <w:rFonts w:ascii="Arial" w:hAnsi="Arial" w:eastAsia="Arial" w:cs="Arial"/>
                <w:sz w:val="16"/>
                <w:szCs w:val="16"/>
              </w:rPr>
              <w:t>Namespaces Pinecone par agent; validation provenance; retention documentée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D0D96A">
            <w:r>
              <w:rPr>
                <w:rFonts w:ascii="Arial" w:hAnsi="Arial" w:eastAsia="Arial" w:cs="Arial"/>
                <w:sz w:val="16"/>
                <w:szCs w:val="16"/>
              </w:rPr>
              <w:t>VULCAN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D2FF4F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332C5A17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F7E140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A.6.5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76810A">
            <w:r>
              <w:rPr>
                <w:rFonts w:ascii="Arial" w:hAnsi="Arial" w:eastAsia="Arial" w:cs="Arial"/>
                <w:sz w:val="17"/>
                <w:szCs w:val="17"/>
              </w:rPr>
              <w:t>Développement et implémentation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DBE487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834C6E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DDF415">
            <w:r>
              <w:rPr>
                <w:rFonts w:ascii="Arial" w:hAnsi="Arial" w:eastAsia="Arial" w:cs="Arial"/>
                <w:sz w:val="16"/>
                <w:szCs w:val="16"/>
              </w:rPr>
              <w:t>n8n workflows; LangGraph graphes; gates déploiement; approval_token président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B42BA6">
            <w:r>
              <w:rPr>
                <w:rFonts w:ascii="Arial" w:hAnsi="Arial" w:eastAsia="Arial" w:cs="Arial"/>
                <w:sz w:val="16"/>
                <w:szCs w:val="16"/>
              </w:rPr>
              <w:t>VULCAN / PROMETHEUS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A74818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6C66AD76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A761B8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A.6.6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DBAEF7">
            <w:r>
              <w:rPr>
                <w:rFonts w:ascii="Arial" w:hAnsi="Arial" w:eastAsia="Arial" w:cs="Arial"/>
                <w:sz w:val="17"/>
                <w:szCs w:val="17"/>
              </w:rPr>
              <w:t>Tests et validation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C39C53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C81434">
            <w:r>
              <w:rPr>
                <w:rFonts w:ascii="Arial" w:hAnsi="Arial" w:eastAsia="Arial" w:cs="Arial"/>
                <w:sz w:val="16"/>
                <w:szCs w:val="16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528D21">
            <w:r>
              <w:rPr>
                <w:rFonts w:ascii="Arial" w:hAnsi="Arial"/>
                <w:sz w:val="16"/>
              </w:rPr>
              <w:t>Protocole de test formel (SYNTHEX-TEST-v1.0) : 20 tâches-types par agent en sandbox Docker isolée ; seuil de validation ≥ baseline ×1,10 ; journaux SHA-256 (THEMIS) ; gate de déploiement présidentiel en production ; tests de non-régression (max 3 itérations).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950039">
            <w:r>
              <w:rPr>
                <w:rFonts w:ascii="Arial" w:hAnsi="Arial" w:eastAsia="Arial" w:cs="Arial"/>
                <w:sz w:val="16"/>
                <w:szCs w:val="16"/>
              </w:rPr>
              <w:t>PROMETHEUS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1B6440">
            <w:r>
              <w:rPr>
                <w:rFonts w:ascii="Arial" w:hAnsi="Arial" w:eastAsia="Arial" w:cs="Arial"/>
                <w:b/>
                <w:bCs/>
                <w:color w:val="806000"/>
                <w:sz w:val="16"/>
                <w:szCs w:val="16"/>
              </w:rPr>
              <w:t>Conforme</w:t>
            </w:r>
          </w:p>
        </w:tc>
      </w:tr>
      <w:tr w14:paraId="795DFE63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8022C1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A.6.7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29F96F">
            <w:r>
              <w:rPr>
                <w:rFonts w:ascii="Arial" w:hAnsi="Arial" w:eastAsia="Arial" w:cs="Arial"/>
                <w:sz w:val="17"/>
                <w:szCs w:val="17"/>
              </w:rPr>
              <w:t>Déploiement et exploitation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1F0DFB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817194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4BEF33">
            <w:r>
              <w:rPr>
                <w:rFonts w:ascii="Arial" w:hAnsi="Arial" w:eastAsia="Arial" w:cs="Arial"/>
                <w:sz w:val="16"/>
                <w:szCs w:val="16"/>
              </w:rPr>
              <w:t>NIVEAU 0 déploiement prod; rollback snapshot; health check VULCAN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D0D869">
            <w:r>
              <w:rPr>
                <w:rFonts w:ascii="Arial" w:hAnsi="Arial" w:eastAsia="Arial" w:cs="Arial"/>
                <w:sz w:val="16"/>
                <w:szCs w:val="16"/>
              </w:rPr>
              <w:t>VULCAN / Président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33EC6A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6427A43A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D534AD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A.6.8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DA63CC">
            <w:r>
              <w:rPr>
                <w:rFonts w:ascii="Arial" w:hAnsi="Arial" w:eastAsia="Arial" w:cs="Arial"/>
                <w:sz w:val="17"/>
                <w:szCs w:val="17"/>
              </w:rPr>
              <w:t>Surveillance et amélioration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E67288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971B73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4CB1DE">
            <w:r>
              <w:rPr>
                <w:rFonts w:ascii="Arial" w:hAnsi="Arial" w:eastAsia="Arial" w:cs="Arial"/>
                <w:sz w:val="16"/>
                <w:szCs w:val="16"/>
              </w:rPr>
              <w:t>OUROBOROS boucle Réflexion; drift détection; Langfuse tracing; alertes Gateway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DB9343">
            <w:r>
              <w:rPr>
                <w:rFonts w:ascii="Arial" w:hAnsi="Arial" w:eastAsia="Arial" w:cs="Arial"/>
                <w:sz w:val="16"/>
                <w:szCs w:val="16"/>
              </w:rPr>
              <w:t>OUROBOROS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A8FCF4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4F1769F8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B76D12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A.6.9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90CC69">
            <w:r>
              <w:rPr>
                <w:rFonts w:ascii="Arial" w:hAnsi="Arial" w:eastAsia="Arial" w:cs="Arial"/>
                <w:sz w:val="17"/>
                <w:szCs w:val="17"/>
              </w:rPr>
              <w:t>Decommissionnement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BA41F0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237250">
            <w:r>
              <w:rPr>
                <w:rFonts w:ascii="Arial" w:hAnsi="Arial" w:eastAsia="Arial" w:cs="Arial"/>
                <w:sz w:val="16"/>
                <w:szCs w:val="16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5AE57A">
            <w:r>
              <w:rPr>
                <w:rFonts w:ascii="Arial" w:hAnsi="Arial"/>
                <w:sz w:val="16"/>
              </w:rPr>
              <w:t>Procédure formelle de décommissionnement (SYNTHEX-DECOM-v1.0) : gel des déclencheurs, révocation des jetons et accès, archivage des logs (LCSA, 6 ans), purge des namespaces Pinecone associés ; validation présidentielle (Niveau 0) ; registre horodaté.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FE786B">
            <w:r>
              <w:rPr>
                <w:rFonts w:ascii="Arial" w:hAnsi="Arial" w:eastAsia="Arial" w:cs="Arial"/>
                <w:sz w:val="16"/>
                <w:szCs w:val="16"/>
              </w:rPr>
              <w:t>VULCAN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F87BB9">
            <w:r>
              <w:rPr>
                <w:rFonts w:ascii="Arial" w:hAnsi="Arial" w:eastAsia="Arial" w:cs="Arial"/>
                <w:b/>
                <w:bCs/>
                <w:color w:val="806000"/>
                <w:sz w:val="16"/>
                <w:szCs w:val="16"/>
              </w:rPr>
              <w:t>Conforme</w:t>
            </w:r>
          </w:p>
        </w:tc>
      </w:tr>
      <w:tr w14:paraId="61107BD3">
        <w:tc>
          <w:tcPr>
            <w:tcW w:w="14500" w:type="dxa"/>
            <w:gridSpan w:val="7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7B90D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A.7  Données pour les systèmes d’IA</w:t>
            </w:r>
          </w:p>
        </w:tc>
      </w:tr>
      <w:tr w14:paraId="76667EF0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8B0274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A.7.2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DCCBEE">
            <w:r>
              <w:rPr>
                <w:rFonts w:ascii="Arial" w:hAnsi="Arial" w:eastAsia="Arial" w:cs="Arial"/>
                <w:sz w:val="17"/>
                <w:szCs w:val="17"/>
              </w:rPr>
              <w:t>Gestion des données d’entrée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FB1615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B3DB97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24DD51">
            <w:r>
              <w:rPr>
                <w:rFonts w:ascii="Arial" w:hAnsi="Arial" w:eastAsia="Arial" w:cs="Arial"/>
                <w:sz w:val="16"/>
                <w:szCs w:val="16"/>
              </w:rPr>
              <w:t>Schémas JSON validation entrées; filtrage PII AI Gateway; sandboxing inputs externes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0FFDAA">
            <w:r>
              <w:rPr>
                <w:rFonts w:ascii="Arial" w:hAnsi="Arial" w:eastAsia="Arial" w:cs="Arial"/>
                <w:sz w:val="16"/>
                <w:szCs w:val="16"/>
              </w:rPr>
              <w:t>VULCAN / AI Gateway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968A7D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09B344EB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1F60B6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A.7.3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B4FFFB">
            <w:r>
              <w:rPr>
                <w:rFonts w:ascii="Arial" w:hAnsi="Arial" w:eastAsia="Arial" w:cs="Arial"/>
                <w:sz w:val="17"/>
                <w:szCs w:val="17"/>
              </w:rPr>
              <w:t>Provenance des données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71AEE3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39F7AD">
            <w:r>
              <w:rPr>
                <w:rFonts w:ascii="Arial" w:hAnsi="Arial" w:eastAsia="Arial" w:cs="Arial"/>
                <w:sz w:val="16"/>
                <w:szCs w:val="16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18B3A9">
            <w:r>
              <w:rPr>
                <w:rFonts w:ascii="Arial" w:hAnsi="Arial"/>
                <w:sz w:val="16"/>
              </w:rPr>
              <w:t>Registre formel de provenance (SYNTHEX-PROV-v1.0) : origine, licence, date d’ingestion et namespace par source ; marquage de provenance dans les outputs IRIS/ARES ; contrôle de licéité et exclusion des sources non autorisées.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6C5D93">
            <w:r>
              <w:rPr>
                <w:rFonts w:ascii="Arial" w:hAnsi="Arial" w:eastAsia="Arial" w:cs="Arial"/>
                <w:sz w:val="16"/>
                <w:szCs w:val="16"/>
              </w:rPr>
              <w:t>IRIS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02D8B7">
            <w:r>
              <w:rPr>
                <w:rFonts w:ascii="Arial" w:hAnsi="Arial" w:eastAsia="Arial" w:cs="Arial"/>
                <w:b/>
                <w:bCs/>
                <w:color w:val="806000"/>
                <w:sz w:val="16"/>
                <w:szCs w:val="16"/>
              </w:rPr>
              <w:t>Conforme</w:t>
            </w:r>
          </w:p>
        </w:tc>
      </w:tr>
      <w:tr w14:paraId="5B1A6887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3D5ABA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A.7.4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08E7F5">
            <w:r>
              <w:rPr>
                <w:rFonts w:ascii="Arial" w:hAnsi="Arial" w:eastAsia="Arial" w:cs="Arial"/>
                <w:sz w:val="17"/>
                <w:szCs w:val="17"/>
              </w:rPr>
              <w:t>Données d’apprentissage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DEDA2E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5F75F4">
            <w:r>
              <w:rPr>
                <w:rFonts w:ascii="Arial" w:hAnsi="Arial" w:eastAsia="Arial" w:cs="Arial"/>
                <w:sz w:val="16"/>
                <w:szCs w:val="16"/>
              </w:rPr>
              <w:t>Conforme — N/A fine-tuning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11B811">
            <w:r>
              <w:rPr>
                <w:rFonts w:ascii="Arial" w:hAnsi="Arial" w:eastAsia="Arial" w:cs="Arial"/>
                <w:sz w:val="16"/>
                <w:szCs w:val="16"/>
              </w:rPr>
              <w:t xml:space="preserve">Modèles utilisés en </w:t>
            </w:r>
            <w:r>
              <w:rPr>
                <w:rFonts w:cs="Arial"/>
                <w:sz w:val="16"/>
                <w:szCs w:val="16"/>
                <w:lang w:val="fr-FR"/>
              </w:rPr>
              <w:t>inférence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uniquement; pas de fine-tuning. Risque empoisonnement Pinecone couvert AIIA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D2E26E">
            <w:r>
              <w:rPr>
                <w:rFonts w:ascii="Arial" w:hAnsi="Arial" w:eastAsia="Arial" w:cs="Arial"/>
                <w:sz w:val="16"/>
                <w:szCs w:val="16"/>
              </w:rPr>
              <w:t>VULCAN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B62745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3D4A30E4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6AB194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A.7.5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3B7368">
            <w:r>
              <w:rPr>
                <w:rFonts w:ascii="Arial" w:hAnsi="Arial" w:eastAsia="Arial" w:cs="Arial"/>
                <w:sz w:val="17"/>
                <w:szCs w:val="17"/>
              </w:rPr>
              <w:t>Qualité des données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4478CF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49AEE0">
            <w:r>
              <w:rPr>
                <w:rFonts w:ascii="Arial" w:hAnsi="Arial" w:eastAsia="Arial" w:cs="Arial"/>
                <w:sz w:val="16"/>
                <w:szCs w:val="16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2C5182">
            <w:r>
              <w:rPr>
                <w:rFonts w:ascii="Arial" w:hAnsi="Arial"/>
                <w:sz w:val="16"/>
              </w:rPr>
              <w:t>Registre de qualité des données (SYNTHEX-QUAL-v1.0) : indicateurs de complétude, exactitude, fraîcheur et score de confiance ; validation par schémas JSON stricts ; rejets journalisés ; revue périodique IRIS/THEMIS.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0DAA93">
            <w:r>
              <w:rPr>
                <w:rFonts w:ascii="Arial" w:hAnsi="Arial" w:eastAsia="Arial" w:cs="Arial"/>
                <w:sz w:val="16"/>
                <w:szCs w:val="16"/>
              </w:rPr>
              <w:t>IRIS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A32F4C">
            <w:r>
              <w:rPr>
                <w:rFonts w:ascii="Arial" w:hAnsi="Arial" w:eastAsia="Arial" w:cs="Arial"/>
                <w:b/>
                <w:bCs/>
                <w:color w:val="806000"/>
                <w:sz w:val="16"/>
                <w:szCs w:val="16"/>
              </w:rPr>
              <w:t>Conforme</w:t>
            </w:r>
          </w:p>
        </w:tc>
      </w:tr>
      <w:tr w14:paraId="706A99A6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6102B5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A.7.6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D926DC">
            <w:r>
              <w:rPr>
                <w:rFonts w:ascii="Arial" w:hAnsi="Arial" w:eastAsia="Arial" w:cs="Arial"/>
                <w:sz w:val="17"/>
                <w:szCs w:val="17"/>
              </w:rPr>
              <w:t>Gestion des données sensibles et confidentielles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5620C8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4566AE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5E77D2">
            <w:r>
              <w:rPr>
                <w:rFonts w:ascii="Arial" w:hAnsi="Arial" w:eastAsia="Arial" w:cs="Arial"/>
                <w:sz w:val="16"/>
                <w:szCs w:val="16"/>
              </w:rPr>
              <w:t>Filtrage PII Gateway; namespace pii_filtered Pinecone; DPA Anthropic/OpenAI; Loi 25 / RGPD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3B4DF6">
            <w:r>
              <w:rPr>
                <w:rFonts w:ascii="Arial" w:hAnsi="Arial" w:eastAsia="Arial" w:cs="Arial"/>
                <w:sz w:val="16"/>
                <w:szCs w:val="16"/>
              </w:rPr>
              <w:t>AI Gateway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4161DF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3D0A0679">
        <w:tc>
          <w:tcPr>
            <w:tcW w:w="14500" w:type="dxa"/>
            <w:gridSpan w:val="7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D9C59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A.8  Information pour les parties prenantes</w:t>
            </w:r>
          </w:p>
        </w:tc>
      </w:tr>
      <w:tr w14:paraId="289B7279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46E9E3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A.8.2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D140BC">
            <w:r>
              <w:rPr>
                <w:rFonts w:ascii="Arial" w:hAnsi="Arial" w:eastAsia="Arial" w:cs="Arial"/>
                <w:sz w:val="17"/>
                <w:szCs w:val="17"/>
              </w:rPr>
              <w:t>Transparence sur les capacités et limitations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832802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3BD76D">
            <w:r>
              <w:rPr>
                <w:rFonts w:ascii="Arial" w:hAnsi="Arial" w:eastAsia="Arial" w:cs="Arial"/>
                <w:sz w:val="16"/>
                <w:szCs w:val="16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EA674D">
            <w:r>
              <w:rPr>
                <w:rFonts w:ascii="Arial" w:hAnsi="Arial"/>
                <w:sz w:val="16"/>
              </w:rPr>
              <w:t>Fiche publique de transparence (SYNTHEX-TRANSP-v1.0) : capacités, limites et voies de recours publiées sur le site ; renvoi depuis la clause contractuelle (A.10.3) et la politique d’usage acceptable (A.10.5) ; mise à jour à chaque évolution majeure des agents.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FBFEA8">
            <w:r>
              <w:rPr>
                <w:rFonts w:ascii="Arial" w:hAnsi="Arial" w:eastAsia="Arial" w:cs="Arial"/>
                <w:sz w:val="16"/>
                <w:szCs w:val="16"/>
              </w:rPr>
              <w:t>APOLLO / MINERVA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C4747C">
            <w:r>
              <w:rPr>
                <w:rFonts w:ascii="Arial" w:hAnsi="Arial" w:eastAsia="Arial" w:cs="Arial"/>
                <w:b/>
                <w:bCs/>
                <w:color w:val="806000"/>
                <w:sz w:val="16"/>
                <w:szCs w:val="16"/>
              </w:rPr>
              <w:t>Conforme</w:t>
            </w:r>
          </w:p>
        </w:tc>
      </w:tr>
      <w:tr w14:paraId="355B990F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CFA42B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A.8.3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65BC4B">
            <w:r>
              <w:rPr>
                <w:rFonts w:ascii="Arial" w:hAnsi="Arial" w:eastAsia="Arial" w:cs="Arial"/>
                <w:sz w:val="17"/>
                <w:szCs w:val="17"/>
              </w:rPr>
              <w:t>Communication sur les risques IA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764A0C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73300C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382226">
            <w:r>
              <w:rPr>
                <w:rFonts w:ascii="Arial" w:hAnsi="Arial" w:eastAsia="Arial" w:cs="Arial"/>
                <w:sz w:val="16"/>
                <w:szCs w:val="16"/>
              </w:rPr>
              <w:t>AIIA publiée; Politique IA publiée; rapports MINERVA président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59CFB6">
            <w:r>
              <w:rPr>
                <w:rFonts w:ascii="Arial" w:hAnsi="Arial" w:eastAsia="Arial" w:cs="Arial"/>
                <w:sz w:val="16"/>
                <w:szCs w:val="16"/>
              </w:rPr>
              <w:t>MINERVA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6B6042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1B30C5CA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0B0F00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A.8.4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A71E83">
            <w:r>
              <w:rPr>
                <w:rFonts w:ascii="Arial" w:hAnsi="Arial" w:eastAsia="Arial" w:cs="Arial"/>
                <w:sz w:val="17"/>
                <w:szCs w:val="17"/>
              </w:rPr>
              <w:t>Mécanisme de retour des parties prenantes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AC8100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696345">
            <w:r>
              <w:rPr>
                <w:rFonts w:ascii="Arial" w:hAnsi="Arial" w:eastAsia="Arial" w:cs="Arial"/>
                <w:sz w:val="16"/>
                <w:szCs w:val="16"/>
              </w:rPr>
              <w:t>GAP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A06790">
            <w:r>
              <w:rPr>
                <w:rFonts w:ascii="Arial" w:hAnsi="Arial" w:eastAsia="Arial" w:cs="Arial"/>
                <w:sz w:val="16"/>
                <w:szCs w:val="16"/>
              </w:rPr>
              <w:t>Aucun mécanisme formel de retour client/partie prenante sur les systèmes IA. A créer.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DD0DE3">
            <w:r>
              <w:rPr>
                <w:rFonts w:ascii="Arial" w:hAnsi="Arial" w:eastAsia="Arial" w:cs="Arial"/>
                <w:sz w:val="16"/>
                <w:szCs w:val="16"/>
              </w:rPr>
              <w:t>DIANA / Président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9E1DCB">
            <w:r>
              <w:rPr>
                <w:rFonts w:ascii="Arial" w:hAnsi="Arial" w:eastAsia="Arial" w:cs="Arial"/>
                <w:b/>
                <w:bCs/>
                <w:color w:val="CC0000"/>
                <w:sz w:val="16"/>
                <w:szCs w:val="16"/>
              </w:rPr>
              <w:t>GAP</w:t>
            </w:r>
          </w:p>
        </w:tc>
      </w:tr>
      <w:tr w14:paraId="229408CC">
        <w:tc>
          <w:tcPr>
            <w:tcW w:w="14500" w:type="dxa"/>
            <w:gridSpan w:val="7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869D31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A.9  Utilisation des systèmes d’IA</w:t>
            </w:r>
          </w:p>
        </w:tc>
      </w:tr>
      <w:tr w14:paraId="488D4C41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3D397A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A.9.2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9E46E">
            <w:r>
              <w:rPr>
                <w:rFonts w:ascii="Arial" w:hAnsi="Arial" w:eastAsia="Arial" w:cs="Arial"/>
                <w:sz w:val="17"/>
                <w:szCs w:val="17"/>
              </w:rPr>
              <w:t>Utilisation dans les limites prévues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5B84CA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9AEF04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40BD2D">
            <w:r>
              <w:rPr>
                <w:rFonts w:ascii="Arial" w:hAnsi="Arial" w:eastAsia="Arial" w:cs="Arial"/>
                <w:sz w:val="16"/>
                <w:szCs w:val="16"/>
              </w:rPr>
              <w:t>Forbidden_tools par contrat; audit_trail; THEMIS surveillance; bounded contexts agents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1C7C9A">
            <w:r>
              <w:rPr>
                <w:rFonts w:ascii="Arial" w:hAnsi="Arial" w:eastAsia="Arial" w:cs="Arial"/>
                <w:sz w:val="16"/>
                <w:szCs w:val="16"/>
              </w:rPr>
              <w:t>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2740B9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08E007CE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C46D30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A.9.3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AFBE9">
            <w:r>
              <w:rPr>
                <w:rFonts w:ascii="Arial" w:hAnsi="Arial" w:eastAsia="Arial" w:cs="Arial"/>
                <w:sz w:val="17"/>
                <w:szCs w:val="17"/>
              </w:rPr>
              <w:t>Gestion des utilisateurs et accès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696B0D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570399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5E5378">
            <w:r>
              <w:rPr>
                <w:rFonts w:ascii="Arial" w:hAnsi="Arial" w:eastAsia="Arial" w:cs="Arial"/>
                <w:sz w:val="16"/>
                <w:szCs w:val="16"/>
              </w:rPr>
              <w:t>Approval_token président; seuils véto SYNTHEX-VET-v1.0; HITL LangGraph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000403">
            <w:r>
              <w:rPr>
                <w:rFonts w:ascii="Arial" w:hAnsi="Arial" w:eastAsia="Arial" w:cs="Arial"/>
                <w:sz w:val="16"/>
                <w:szCs w:val="16"/>
              </w:rPr>
              <w:t>Président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F3A5F0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7732A97E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9FC51E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A.9.4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A4F6B6">
            <w:r>
              <w:rPr>
                <w:rFonts w:ascii="Arial" w:hAnsi="Arial" w:eastAsia="Arial" w:cs="Arial"/>
                <w:sz w:val="17"/>
                <w:szCs w:val="17"/>
              </w:rPr>
              <w:t>Surveillance des systèmes en production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F3E449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EE61FD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7CB1FC">
            <w:r>
              <w:rPr>
                <w:rFonts w:ascii="Arial" w:hAnsi="Arial" w:eastAsia="Arial" w:cs="Arial"/>
                <w:sz w:val="16"/>
                <w:szCs w:val="16"/>
              </w:rPr>
              <w:t>Langfuse tracing; alertes AI Gateway; dashboard ATLAS; OUROBOROS évaluation continue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401BB4">
            <w:r>
              <w:rPr>
                <w:rFonts w:ascii="Arial" w:hAnsi="Arial" w:eastAsia="Arial" w:cs="Arial"/>
                <w:sz w:val="16"/>
                <w:szCs w:val="16"/>
              </w:rPr>
              <w:t>OUROBOROS / VULCAN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D90648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09633211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62DB83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A.9.5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39CA42">
            <w:r>
              <w:rPr>
                <w:rFonts w:ascii="Arial" w:hAnsi="Arial" w:eastAsia="Arial" w:cs="Arial"/>
                <w:sz w:val="17"/>
                <w:szCs w:val="17"/>
              </w:rPr>
              <w:t>Gestion des incidents IA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B4F680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44E3EB">
            <w:r>
              <w:rPr>
                <w:rFonts w:ascii="Arial" w:hAnsi="Arial" w:eastAsia="Arial" w:cs="Arial"/>
                <w:sz w:val="16"/>
                <w:szCs w:val="16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95587B">
            <w:r>
              <w:rPr>
                <w:rFonts w:ascii="Arial" w:hAnsi="Arial"/>
                <w:sz w:val="16"/>
              </w:rPr>
              <w:t>Plan de réponse aux incidents IA (SYNTHEX-INC-v1.0) : taxonomie (dérive, hallucination critique, fuite PII, dépassement de seuil, comportement hors périmètre) ; escalade Prometheus/OUROBOROS → THEMIS → Président avec délais par gravité ; confinement (rollback zero-downtime, désactivation d’agent) ; post-mortem documenté ; registre d’incidents (6 ans).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2F0C59">
            <w:r>
              <w:rPr>
                <w:rFonts w:ascii="Arial" w:hAnsi="Arial" w:eastAsia="Arial" w:cs="Arial"/>
                <w:sz w:val="16"/>
                <w:szCs w:val="16"/>
              </w:rPr>
              <w:t>THEMIS / Président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B349E3">
            <w:r>
              <w:rPr>
                <w:rFonts w:ascii="Arial" w:hAnsi="Arial" w:eastAsia="Arial" w:cs="Arial"/>
                <w:b/>
                <w:bCs/>
                <w:color w:val="806000"/>
                <w:sz w:val="16"/>
                <w:szCs w:val="16"/>
              </w:rPr>
              <w:t>Conforme</w:t>
            </w:r>
          </w:p>
        </w:tc>
      </w:tr>
      <w:tr w14:paraId="7CC6F163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F5E2DE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A.9.6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41DB9B">
            <w:r>
              <w:rPr>
                <w:rFonts w:ascii="Arial" w:hAnsi="Arial" w:eastAsia="Arial" w:cs="Arial"/>
                <w:sz w:val="17"/>
                <w:szCs w:val="17"/>
              </w:rPr>
              <w:t>Retour d’expérience et apprentissage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776316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96AA70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B48A4B">
            <w:r>
              <w:rPr>
                <w:rFonts w:ascii="Arial" w:hAnsi="Arial" w:eastAsia="Arial" w:cs="Arial"/>
                <w:sz w:val="16"/>
                <w:szCs w:val="16"/>
              </w:rPr>
              <w:t>OUROBOROS boucle Réflexion; rollback auto; namespace ouroboros_history Pinecone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1730B4">
            <w:r>
              <w:rPr>
                <w:rFonts w:ascii="Arial" w:hAnsi="Arial" w:eastAsia="Arial" w:cs="Arial"/>
                <w:sz w:val="16"/>
                <w:szCs w:val="16"/>
              </w:rPr>
              <w:t>OUROBOROS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5189CB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5BA04BF6">
        <w:tc>
          <w:tcPr>
            <w:tcW w:w="14500" w:type="dxa"/>
            <w:gridSpan w:val="7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405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2E24B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A.10  Relations avec les tiers et les clients</w:t>
            </w:r>
          </w:p>
        </w:tc>
      </w:tr>
      <w:tr w14:paraId="60E2E3CC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9D42A3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A.10.2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2849C1">
            <w:r>
              <w:rPr>
                <w:rFonts w:ascii="Arial" w:hAnsi="Arial" w:eastAsia="Arial" w:cs="Arial"/>
                <w:sz w:val="17"/>
                <w:szCs w:val="17"/>
              </w:rPr>
              <w:t>Gestion des fournisseurs IA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EFADFC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85A3EB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3AFFD8">
            <w:r>
              <w:rPr>
                <w:rFonts w:ascii="Arial" w:hAnsi="Arial" w:eastAsia="Arial" w:cs="Arial"/>
                <w:sz w:val="16"/>
                <w:szCs w:val="16"/>
              </w:rPr>
              <w:t>DPA Anthropic, OpenAI, Pinecone, n8n références; fallback multi-fournisseur</w:t>
            </w:r>
            <w:r>
              <w:rPr>
                <w:rFonts w:hint="default" w:cs="Arial"/>
                <w:sz w:val="16"/>
                <w:szCs w:val="16"/>
                <w:lang w:val="fr-FR"/>
              </w:rPr>
              <w:t>s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Gateway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475B5E">
            <w:r>
              <w:rPr>
                <w:rFonts w:ascii="Arial" w:hAnsi="Arial" w:eastAsia="Arial" w:cs="Arial"/>
                <w:sz w:val="16"/>
                <w:szCs w:val="16"/>
              </w:rPr>
              <w:t>THEMIS / Président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AA8E02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5BE3E3FB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420BD0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A.10.3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76B260">
            <w:r>
              <w:rPr>
                <w:rFonts w:ascii="Arial" w:hAnsi="Arial" w:eastAsia="Arial" w:cs="Arial"/>
                <w:sz w:val="17"/>
                <w:szCs w:val="17"/>
              </w:rPr>
              <w:t>Contrats clients et obligations IA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92AB9D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C2B2DF">
            <w:r>
              <w:rPr>
                <w:rFonts w:ascii="Arial" w:hAnsi="Arial" w:eastAsia="Arial" w:cs="Arial"/>
                <w:sz w:val="16"/>
                <w:szCs w:val="16"/>
              </w:rPr>
              <w:t>GAP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CAB94B">
            <w:r>
              <w:rPr>
                <w:rFonts w:ascii="Arial" w:hAnsi="Arial" w:eastAsia="Arial" w:cs="Arial"/>
                <w:sz w:val="16"/>
                <w:szCs w:val="16"/>
              </w:rPr>
              <w:t>Clauses IA dans contrats clients non formalisées. Recommandé: ajouter clause responsabilité IA dans tous nouveaux contrats.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DF8F65">
            <w:r>
              <w:rPr>
                <w:rFonts w:ascii="Arial" w:hAnsi="Arial" w:eastAsia="Arial" w:cs="Arial"/>
                <w:sz w:val="16"/>
                <w:szCs w:val="16"/>
              </w:rPr>
              <w:t>HERMES / Président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CBC27D">
            <w:r>
              <w:rPr>
                <w:rFonts w:ascii="Arial" w:hAnsi="Arial" w:eastAsia="Arial" w:cs="Arial"/>
                <w:b/>
                <w:bCs/>
                <w:color w:val="CC0000"/>
                <w:sz w:val="16"/>
                <w:szCs w:val="16"/>
              </w:rPr>
              <w:t>GAP</w:t>
            </w:r>
          </w:p>
        </w:tc>
      </w:tr>
      <w:tr w14:paraId="3FBB7FA5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ABA53B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A.10.4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316231">
            <w:r>
              <w:rPr>
                <w:rFonts w:ascii="Arial" w:hAnsi="Arial" w:eastAsia="Arial" w:cs="Arial"/>
                <w:sz w:val="17"/>
                <w:szCs w:val="17"/>
              </w:rPr>
              <w:t>Partage de données avec des tiers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11F0F4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F80A83">
            <w:r>
              <w:rPr>
                <w:rFonts w:cs="Arial"/>
                <w:sz w:val="16"/>
                <w:szCs w:val="16"/>
                <w:lang w:val="fr-FR"/>
              </w:rPr>
              <w:t>Implémenté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B60E23">
            <w:r>
              <w:rPr>
                <w:rFonts w:ascii="Arial" w:hAnsi="Arial" w:eastAsia="Arial" w:cs="Arial"/>
                <w:sz w:val="16"/>
                <w:szCs w:val="16"/>
              </w:rPr>
              <w:t>DPA tiers; filtrage PII avant envoi modèles; namespace pii_filtered; zero données clients a OpenAI sans accord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DA6CEB">
            <w:r>
              <w:rPr>
                <w:rFonts w:ascii="Arial" w:hAnsi="Arial" w:eastAsia="Arial" w:cs="Arial"/>
                <w:sz w:val="16"/>
                <w:szCs w:val="16"/>
              </w:rPr>
              <w:t>AI Gateway / THEMIS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19BFA3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Conforme</w:t>
            </w:r>
          </w:p>
        </w:tc>
      </w:tr>
      <w:tr w14:paraId="387CA007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C087DF">
            <w:r>
              <w:rPr>
                <w:rFonts w:ascii="Arial" w:hAnsi="Arial" w:eastAsia="Arial" w:cs="Arial"/>
                <w:b/>
                <w:bCs/>
                <w:sz w:val="17"/>
                <w:szCs w:val="17"/>
              </w:rPr>
              <w:t>A.10.5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0FA9CF">
            <w:r>
              <w:rPr>
                <w:rFonts w:ascii="Arial" w:hAnsi="Arial" w:eastAsia="Arial" w:cs="Arial"/>
                <w:sz w:val="17"/>
                <w:szCs w:val="17"/>
              </w:rPr>
              <w:t>Utilisation responsable de l’IA par les clients</w:t>
            </w:r>
          </w:p>
        </w:tc>
        <w:tc>
          <w:tcPr>
            <w:tcW w:w="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8F0D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1A1624">
            <w:r>
              <w:rPr>
                <w:rFonts w:ascii="Arial" w:hAnsi="Arial" w:eastAsia="Arial" w:cs="Arial"/>
                <w:b/>
                <w:bCs/>
                <w:color w:val="206020"/>
                <w:sz w:val="16"/>
                <w:szCs w:val="16"/>
              </w:rPr>
              <w:t>APPLICABLE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B4052E">
            <w:r>
              <w:rPr>
                <w:rFonts w:ascii="Arial" w:hAnsi="Arial" w:eastAsia="Arial" w:cs="Arial"/>
                <w:sz w:val="16"/>
                <w:szCs w:val="16"/>
              </w:rPr>
              <w:t>GAP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AD9653">
            <w:r>
              <w:rPr>
                <w:rFonts w:ascii="Arial" w:hAnsi="Arial" w:eastAsia="Arial" w:cs="Arial"/>
                <w:sz w:val="16"/>
                <w:szCs w:val="16"/>
              </w:rPr>
              <w:t>Politique d’usage acceptable IA pour clients non rédigée. A créer dans les 90 jours.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14EC3D">
            <w:r>
              <w:rPr>
                <w:rFonts w:ascii="Arial" w:hAnsi="Arial" w:eastAsia="Arial" w:cs="Arial"/>
                <w:sz w:val="16"/>
                <w:szCs w:val="16"/>
              </w:rPr>
              <w:t>APOLLO / Président</w:t>
            </w:r>
          </w:p>
        </w:tc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B3F3B1">
            <w:r>
              <w:rPr>
                <w:rFonts w:ascii="Arial" w:hAnsi="Arial" w:eastAsia="Arial" w:cs="Arial"/>
                <w:b/>
                <w:bCs/>
                <w:color w:val="CC0000"/>
                <w:sz w:val="16"/>
                <w:szCs w:val="16"/>
              </w:rPr>
              <w:t>GAP</w:t>
            </w:r>
          </w:p>
        </w:tc>
      </w:tr>
    </w:tbl>
    <w:p w14:paraId="7CBC8B9A">
      <w:pPr>
        <w:spacing w:before="60" w:after="60"/>
      </w:pPr>
    </w:p>
    <w:p w14:paraId="1DBBD29A">
      <w:pPr>
        <w:pStyle w:val="2"/>
        <w:spacing w:before="360" w:after="180"/>
      </w:pPr>
      <w:r>
        <w:rPr>
          <w:rFonts w:ascii="Arial" w:hAnsi="Arial" w:eastAsia="Arial" w:cs="Arial"/>
          <w:b/>
          <w:bCs/>
          <w:color w:val="1F3864"/>
          <w:sz w:val="28"/>
          <w:szCs w:val="28"/>
        </w:rPr>
        <w:t>Synthèse et plan de fermeture des gaps</w:t>
      </w:r>
    </w:p>
    <w:tbl>
      <w:tblPr>
        <w:tblStyle w:val="9"/>
        <w:tblW w:w="1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3500"/>
        <w:gridCol w:w="4000"/>
        <w:gridCol w:w="2300"/>
        <w:gridCol w:w="4000"/>
      </w:tblGrid>
      <w:tr w14:paraId="52E1EB2C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AC902A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Ref.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028E8A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Gap identifié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48B013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Action corrective</w:t>
            </w:r>
          </w:p>
        </w:tc>
        <w:tc>
          <w:tcPr>
            <w:tcW w:w="23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FCD224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Échéance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2932F3">
            <w:r>
              <w:rPr>
                <w:rFonts w:ascii="Arial" w:hAnsi="Arial" w:eastAsia="Arial" w:cs="Arial"/>
                <w:b/>
                <w:bCs/>
                <w:color w:val="FFFFFF"/>
                <w:sz w:val="18"/>
                <w:szCs w:val="18"/>
              </w:rPr>
              <w:t>Responsable</w:t>
            </w:r>
          </w:p>
        </w:tc>
      </w:tr>
      <w:tr w14:paraId="63FA9DB7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3B449">
            <w:r>
              <w:rPr>
                <w:rFonts w:ascii="Arial" w:hAnsi="Arial" w:eastAsia="Arial" w:cs="Arial"/>
                <w:b/>
                <w:bCs/>
                <w:color w:val="CC0000"/>
                <w:sz w:val="18"/>
                <w:szCs w:val="18"/>
              </w:rPr>
              <w:t>A.8.4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6AD0C">
            <w:r>
              <w:rPr>
                <w:rFonts w:ascii="Arial" w:hAnsi="Arial" w:eastAsia="Arial" w:cs="Arial"/>
                <w:sz w:val="18"/>
                <w:szCs w:val="18"/>
              </w:rPr>
              <w:t>Aucun mécanisme de retour des parties prenantes sur les systèmes IA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673EC">
            <w:r>
              <w:rPr>
                <w:rFonts w:ascii="Arial" w:hAnsi="Arial" w:eastAsia="Arial" w:cs="Arial"/>
                <w:sz w:val="18"/>
                <w:szCs w:val="18"/>
              </w:rPr>
              <w:t>Créer formulaire de feedback IA sur site SYNTHEX; process de traitement DIANA; rapport MINERVA trimestriel</w:t>
            </w:r>
          </w:p>
        </w:tc>
        <w:tc>
          <w:tcPr>
            <w:tcW w:w="23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8A8B4">
            <w:r>
              <w:rPr>
                <w:rFonts w:ascii="Arial" w:hAnsi="Arial" w:eastAsia="Arial" w:cs="Arial"/>
                <w:sz w:val="18"/>
                <w:szCs w:val="18"/>
              </w:rPr>
              <w:t>J+60 (2026-07-29)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F320C">
            <w:r>
              <w:rPr>
                <w:rFonts w:ascii="Arial" w:hAnsi="Arial" w:eastAsia="Arial" w:cs="Arial"/>
                <w:sz w:val="18"/>
                <w:szCs w:val="18"/>
              </w:rPr>
              <w:t>DIANA (implémentation) + Président (approbation)</w:t>
            </w:r>
          </w:p>
        </w:tc>
      </w:tr>
      <w:tr w14:paraId="5BF209E7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2205C">
            <w:r>
              <w:rPr>
                <w:rFonts w:ascii="Arial" w:hAnsi="Arial" w:eastAsia="Arial" w:cs="Arial"/>
                <w:b/>
                <w:bCs/>
                <w:color w:val="CC0000"/>
                <w:sz w:val="18"/>
                <w:szCs w:val="18"/>
              </w:rPr>
              <w:t>A.10.3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611DC">
            <w:r>
              <w:rPr>
                <w:rFonts w:ascii="Arial" w:hAnsi="Arial" w:eastAsia="Arial" w:cs="Arial"/>
                <w:sz w:val="18"/>
                <w:szCs w:val="18"/>
              </w:rPr>
              <w:t>Pas de clauses IA dans contrats clients actuels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94425">
            <w:r>
              <w:rPr>
                <w:rFonts w:ascii="Arial" w:hAnsi="Arial" w:eastAsia="Arial" w:cs="Arial"/>
                <w:sz w:val="18"/>
                <w:szCs w:val="18"/>
              </w:rPr>
              <w:t>Rédiger clause IA standard (limitation responsabilité, transparence, feedback); intégrer dans template contrat HERMES</w:t>
            </w:r>
          </w:p>
        </w:tc>
        <w:tc>
          <w:tcPr>
            <w:tcW w:w="23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49B08">
            <w:r>
              <w:rPr>
                <w:rFonts w:ascii="Arial" w:hAnsi="Arial" w:eastAsia="Arial" w:cs="Arial"/>
                <w:sz w:val="18"/>
                <w:szCs w:val="18"/>
              </w:rPr>
              <w:t>J+30 (2026-06-29)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CE10E">
            <w:r>
              <w:rPr>
                <w:rFonts w:ascii="Arial" w:hAnsi="Arial" w:eastAsia="Arial" w:cs="Arial"/>
                <w:sz w:val="18"/>
                <w:szCs w:val="18"/>
              </w:rPr>
              <w:t>HERMES (rédaction) + Président (signature)</w:t>
            </w:r>
          </w:p>
        </w:tc>
      </w:tr>
      <w:tr w14:paraId="614B77F3"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6FCC8">
            <w:r>
              <w:rPr>
                <w:rFonts w:ascii="Arial" w:hAnsi="Arial" w:eastAsia="Arial" w:cs="Arial"/>
                <w:b/>
                <w:bCs/>
                <w:color w:val="CC0000"/>
                <w:sz w:val="18"/>
                <w:szCs w:val="18"/>
              </w:rPr>
              <w:t>A.10.5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C0FFE">
            <w:r>
              <w:rPr>
                <w:rFonts w:ascii="Arial" w:hAnsi="Arial" w:eastAsia="Arial" w:cs="Arial"/>
                <w:sz w:val="18"/>
                <w:szCs w:val="18"/>
              </w:rPr>
              <w:t>Pas de politique d’usage acceptable IA pour les clients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1FF84">
            <w:r>
              <w:rPr>
                <w:rFonts w:ascii="Arial" w:hAnsi="Arial" w:eastAsia="Arial" w:cs="Arial"/>
                <w:sz w:val="18"/>
                <w:szCs w:val="18"/>
              </w:rPr>
              <w:t>Rédiger politique d’usage acceptable; publier sur site SYNTHEX; mentionner dans onboarding client</w:t>
            </w:r>
          </w:p>
        </w:tc>
        <w:tc>
          <w:tcPr>
            <w:tcW w:w="23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283B4">
            <w:r>
              <w:rPr>
                <w:rFonts w:ascii="Arial" w:hAnsi="Arial" w:eastAsia="Arial" w:cs="Arial"/>
                <w:sz w:val="18"/>
                <w:szCs w:val="18"/>
              </w:rPr>
              <w:t>J+90 (2026-08-29)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69FD6">
            <w:r>
              <w:rPr>
                <w:rFonts w:ascii="Arial" w:hAnsi="Arial" w:eastAsia="Arial" w:cs="Arial"/>
                <w:sz w:val="18"/>
                <w:szCs w:val="18"/>
              </w:rPr>
              <w:t>APOLLO (rédaction) + THEMIS (validation) + Président (approbation)</w:t>
            </w:r>
          </w:p>
        </w:tc>
      </w:tr>
    </w:tbl>
    <w:p w14:paraId="5D0778F6">
      <w:pPr>
        <w:spacing w:before="60" w:after="60"/>
      </w:pPr>
    </w:p>
    <w:tbl>
      <w:tblPr>
        <w:tblStyle w:val="9"/>
        <w:tblW w:w="14364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364"/>
      </w:tblGrid>
      <w:tr w14:paraId="3DF3478B">
        <w:tc>
          <w:tcPr>
            <w:tcW w:w="14364" w:type="dxa"/>
            <w:tcBorders>
              <w:top w:val="single" w:color="1F3864" w:sz="6" w:space="0"/>
              <w:left w:val="single" w:color="1F3864" w:sz="6" w:space="0"/>
              <w:bottom w:val="single" w:color="1F3864" w:sz="6" w:space="0"/>
              <w:right w:val="single" w:color="1F3864" w:sz="6" w:space="0"/>
            </w:tcBorders>
            <w:shd w:val="clear" w:color="auto" w:fill="EFF3FB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5A4640A">
            <w:pPr>
              <w:spacing w:after="80"/>
            </w:pPr>
            <w:r>
              <w:rPr>
                <w:rFonts w:ascii="Arial" w:hAnsi="Arial" w:eastAsia="Arial" w:cs="Arial"/>
                <w:b/>
                <w:bCs/>
                <w:color w:val="1F3864"/>
                <w:sz w:val="22"/>
                <w:szCs w:val="22"/>
              </w:rPr>
              <w:t>Encadré final — Conformité ISO 42001:2023</w:t>
            </w:r>
          </w:p>
          <w:p w14:paraId="31E66866">
            <w:r>
              <w:rPr>
                <w:rFonts w:ascii="Arial" w:hAnsi="Arial" w:eastAsia="Arial" w:cs="Arial"/>
                <w:i/>
                <w:iCs/>
                <w:color w:val="555555"/>
                <w:sz w:val="19"/>
                <w:szCs w:val="19"/>
              </w:rPr>
              <w:t>Mise en conformité vérifiée le 2026-05-29  |  Score SoA : 84% (26/38 conformes, 9 partiels, 3 gaps)</w:t>
            </w:r>
          </w:p>
          <w:p w14:paraId="2B080C35">
            <w:r>
              <w:rPr>
                <w:rFonts w:ascii="Arial" w:hAnsi="Arial" w:eastAsia="Arial" w:cs="Arial"/>
                <w:sz w:val="19"/>
                <w:szCs w:val="19"/>
              </w:rPr>
              <w:t>[OK] SoA conforme ISO 42001:2023 Annexe A — 38 contrôles évalués, justification documentés pour chaque</w:t>
            </w:r>
          </w:p>
          <w:p w14:paraId="5A2B626A">
            <w:r>
              <w:rPr>
                <w:rFonts w:ascii="Arial" w:hAnsi="Arial" w:eastAsia="Arial" w:cs="Arial"/>
                <w:sz w:val="19"/>
                <w:szCs w:val="19"/>
              </w:rPr>
              <w:t>[OK] 3 gaps identifiés avec plans correctifs dates — A.8.4 (J+60), A.10.3 (J+30), A.10.5 (J+90)</w:t>
            </w:r>
          </w:p>
          <w:p w14:paraId="669967E9">
            <w:r>
              <w:rPr>
                <w:rFonts w:ascii="Arial" w:hAnsi="Arial" w:eastAsia="Arial" w:cs="Arial"/>
                <w:sz w:val="19"/>
                <w:szCs w:val="19"/>
              </w:rPr>
              <w:t>[OK] Objectif conformité sans certification maintenu — certification déclenchée si client entreprise l’exige contractuellement</w:t>
            </w:r>
          </w:p>
          <w:p w14:paraId="4C11FF27">
            <w:pPr>
              <w:spacing w:before="80"/>
            </w:pPr>
            <w:r>
              <w:rPr>
                <w:rFonts w:ascii="Arial" w:hAnsi="Arial" w:eastAsia="Arial" w:cs="Arial"/>
                <w:i/>
                <w:iCs/>
                <w:color w:val="555555"/>
                <w:sz w:val="17"/>
                <w:szCs w:val="17"/>
              </w:rPr>
              <w:t>Applique la Norme ISO/IEC 42001:2023 — Système de Management de l’Intelligence Artificielle (AIMS)</w:t>
            </w:r>
          </w:p>
        </w:tc>
      </w:tr>
    </w:tbl>
    <w:p w14:paraId="2BFA06F7"/>
    <w:sectPr>
      <w:headerReference r:id="rId3" w:type="default"/>
      <w:footerReference r:id="rId4" w:type="default"/>
      <w:pgSz w:w="16838" w:h="11906"/>
      <w:pgMar w:top="900" w:right="800" w:bottom="900" w:left="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86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B0CA5">
    <w:pPr>
      <w:pBdr>
        <w:top w:val="single" w:color="1F3864" w:sz="4" w:space="1"/>
      </w:pBdr>
    </w:pPr>
    <w:r>
      <w:rPr>
        <w:rFonts w:ascii="Arial" w:hAnsi="Arial" w:eastAsia="Arial" w:cs="Arial"/>
        <w:color w:val="888888"/>
        <w:sz w:val="15"/>
        <w:szCs w:val="15"/>
      </w:rPr>
      <w:t xml:space="preserve">SYNTHEX-SOA-v1.0 | ISO/IEC 42001:2023 Annexe A | Approuve Dr Sylvain Gagne, Ph.D. | Page </w:t>
    </w:r>
    <w:r>
      <w:rPr>
        <w:rFonts w:ascii="Arial" w:hAnsi="Arial" w:eastAsia="Arial" w:cs="Arial"/>
        <w:color w:val="888888"/>
        <w:sz w:val="15"/>
        <w:szCs w:val="15"/>
      </w:rPr>
      <w:fldChar w:fldCharType="begin"/>
    </w:r>
    <w:r>
      <w:rPr>
        <w:rFonts w:ascii="Arial" w:hAnsi="Arial" w:eastAsia="Arial" w:cs="Arial"/>
        <w:color w:val="888888"/>
        <w:sz w:val="15"/>
        <w:szCs w:val="15"/>
      </w:rPr>
      <w:instrText xml:space="preserve">PAGE</w:instrText>
    </w:r>
    <w:r>
      <w:rPr>
        <w:rFonts w:ascii="Arial" w:hAnsi="Arial" w:eastAsia="Arial" w:cs="Arial"/>
        <w:color w:val="888888"/>
        <w:sz w:val="15"/>
        <w:szCs w:val="15"/>
      </w:rPr>
      <w:fldChar w:fldCharType="separate"/>
    </w:r>
    <w:r>
      <w:rPr>
        <w:rFonts w:ascii="Arial" w:hAnsi="Arial" w:eastAsia="Arial" w:cs="Arial"/>
        <w:color w:val="888888"/>
        <w:sz w:val="15"/>
        <w:szCs w:val="15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20825">
    <w:pPr>
      <w:pBdr>
        <w:bottom w:val="single" w:color="1F3864" w:sz="4" w:space="1"/>
      </w:pBdr>
    </w:pPr>
    <w:r>
      <w:rPr>
        <w:rFonts w:ascii="Arial" w:hAnsi="Arial" w:eastAsia="Arial" w:cs="Arial"/>
        <w:color w:val="1F3864"/>
        <w:sz w:val="17"/>
        <w:szCs w:val="17"/>
      </w:rPr>
      <w:t>SYNTHEX Corporation — Declaration d'Applicabilite ISO 42001:2023  |  SYNTHEX-SOA-v1.0  |  38 controles  |  2026-05-29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8"/>
  <w:doNotDisplayPageBoundaries w:val="1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715E9E0D"/>
    <w:rsid w:val="EBBF3CD9"/>
    <w:rsid w:val="F7EA22D3"/>
    <w:rsid w:val="FCDD22E1"/>
    <w:rsid w:val="FF3BB4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0"/>
      <w:szCs w:val="20"/>
    </w:rPr>
  </w:style>
  <w:style w:type="paragraph" w:styleId="2">
    <w:name w:val="heading 1"/>
    <w:next w:val="1"/>
    <w:qFormat/>
    <w:uiPriority w:val="0"/>
    <w:pPr>
      <w:spacing w:before="360" w:after="180"/>
      <w:outlineLvl w:val="0"/>
    </w:pPr>
    <w:rPr>
      <w:rFonts w:ascii="Arial" w:hAnsi="Arial" w:eastAsia="Arial" w:cs="Arial"/>
      <w:b/>
      <w:bCs/>
      <w:color w:val="1F3864"/>
      <w:sz w:val="28"/>
      <w:szCs w:val="28"/>
    </w:rPr>
  </w:style>
  <w:style w:type="paragraph" w:styleId="3">
    <w:name w:val="heading 2"/>
    <w:next w:val="1"/>
    <w:qFormat/>
    <w:uiPriority w:val="0"/>
    <w:pPr>
      <w:spacing w:before="200" w:after="100"/>
      <w:outlineLvl w:val="1"/>
    </w:pPr>
    <w:rPr>
      <w:rFonts w:ascii="Arial" w:hAnsi="Arial" w:eastAsia="Arial" w:cs="Arial"/>
      <w:b/>
      <w:bCs/>
      <w:color w:val="2E4057"/>
      <w:sz w:val="22"/>
      <w:szCs w:val="22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0"/>
      <w:szCs w:val="20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uiPriority w:val="99"/>
    <w:rPr>
      <w:vertAlign w:val="superscript"/>
    </w:rPr>
  </w:style>
  <w:style w:type="paragraph" w:styleId="11">
    <w:name w:val="endnote text"/>
    <w:link w:val="18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="Arial" w:hAnsi="Arial" w:eastAsia="Arial" w:cs="Arial"/>
      <w:sz w:val="56"/>
      <w:szCs w:val="56"/>
    </w:rPr>
  </w:style>
  <w:style w:type="paragraph" w:styleId="16">
    <w:name w:val="List Paragraph"/>
    <w:qFormat/>
    <w:uiPriority w:val="0"/>
    <w:rPr>
      <w:rFonts w:ascii="Arial" w:hAnsi="Arial" w:eastAsia="Arial" w:cs="Arial"/>
      <w:sz w:val="20"/>
      <w:szCs w:val="20"/>
    </w:rPr>
  </w:style>
  <w:style w:type="character" w:customStyle="1" w:styleId="17">
    <w:name w:val="Footnote Text Char"/>
    <w:link w:val="13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uiPriority w:val="99"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14</TotalTime>
  <ScaleCrop>false</ScaleCrop>
  <LinksUpToDate>false</LinksUpToDate>
  <Application>WPS Office_12.1.25867.25867_F1E327BC-269C-435d-A152-05C5408002CA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WPS_1770405454</cp:lastModifiedBy>
  <dcterms:modified xsi:type="dcterms:W3CDTF">2026-05-30T14:46:13Z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1033-12.1.25867.25867</vt:lpwstr>
  </property>
  <property fmtid="{D5CDD505-2E9C-101B-9397-08002B2CF9AE}" pid="3" name="ICV">
    <vt:lpwstr>40F9B22FF183E428EA2D1B6A8B48B84C_43</vt:lpwstr>
  </property>
</Properties>
</file>