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0" w:after="80"/>
        <w:jc w:val="center"/>
      </w:pPr>
      <w:r>
        <w:rPr>
          <w:b/>
          <w:color w:val="102C57"/>
          <w:sz w:val="48"/>
        </w:rPr>
        <w:t>SYNTHEX CORPORATION AGENTIQUE</w:t>
      </w:r>
    </w:p>
    <w:p>
      <w:pPr>
        <w:spacing w:after="480"/>
        <w:jc w:val="center"/>
      </w:pPr>
      <w:r>
        <w:rPr>
          <w:i/>
          <w:color w:val="505050"/>
          <w:sz w:val="26"/>
        </w:rPr>
        <w:t>Architecture Organisationnelle Multi-Agents V2.0</w:t>
        <w:br/>
        <w:t>Doctrine Cognition Fusion &amp; Fiches de Poste Officielles</w:t>
      </w:r>
    </w:p>
    <w:tbl>
      <w:tblPr>
        <w:tblW w:type="auto" w:w="0"/>
        <w:jc w:val="center"/>
        <w:tblLook w:firstColumn="1" w:firstRow="1" w:lastColumn="0" w:lastRow="0" w:noHBand="0" w:noVBand="1" w:val="04A0"/>
      </w:tblPr>
      <w:tblGrid>
        <w:gridCol w:w="4680"/>
        <w:gridCol w:w="4680"/>
      </w:tblGrid>
      <w:tr>
        <w:tc>
          <w:tcPr>
            <w:tcW w:type="dxa" w:w="3600"/>
            <w:shd w:val="clear" w:color="auto" w:fill="EAEFF5"/>
            <w:tcMar>
              <w:top w:w="120" w:type="dxa"/>
              <w:bottom w:w="120" w:type="dxa"/>
              <w:left w:w="180" w:type="dxa"/>
              <w:right w:w="180" w:type="dxa"/>
            </w:tcMar>
          </w:tcPr>
          <w:p>
            <w:r>
              <w:rPr>
                <w:b/>
                <w:sz w:val="20"/>
              </w:rPr>
              <w:t>Président Fondateur &amp; Direction</w:t>
            </w:r>
          </w:p>
        </w:tc>
        <w:tc>
          <w:tcPr>
            <w:tcW w:type="dxa" w:w="5760"/>
            <w:tcMar>
              <w:top w:w="120" w:type="dxa"/>
              <w:bottom w:w="120" w:type="dxa"/>
              <w:left w:w="180" w:type="dxa"/>
              <w:right w:w="180" w:type="dxa"/>
            </w:tcMar>
          </w:tcPr>
          <w:p>
            <w:r>
              <w:rPr>
                <w:sz w:val="20"/>
              </w:rPr>
              <w:t>Dr. Sylvain Gagné, Ph.D.</w:t>
            </w:r>
          </w:p>
        </w:tc>
      </w:tr>
      <w:tr>
        <w:tc>
          <w:tcPr>
            <w:tcW w:type="dxa" w:w="3600"/>
            <w:shd w:val="clear" w:color="auto" w:fill="EAEFF5"/>
            <w:tcMar>
              <w:top w:w="120" w:type="dxa"/>
              <w:bottom w:w="120" w:type="dxa"/>
              <w:left w:w="180" w:type="dxa"/>
              <w:right w:w="180" w:type="dxa"/>
            </w:tcMar>
          </w:tcPr>
          <w:p>
            <w:r>
              <w:rPr>
                <w:b/>
                <w:sz w:val="20"/>
              </w:rPr>
              <w:t>Standard International</w:t>
            </w:r>
          </w:p>
        </w:tc>
        <w:tc>
          <w:tcPr>
            <w:tcW w:type="dxa" w:w="5760"/>
            <w:tcMar>
              <w:top w:w="120" w:type="dxa"/>
              <w:bottom w:w="120" w:type="dxa"/>
              <w:left w:w="180" w:type="dxa"/>
              <w:right w:w="180" w:type="dxa"/>
            </w:tcMar>
          </w:tcPr>
          <w:p>
            <w:r>
              <w:rPr>
                <w:sz w:val="20"/>
              </w:rPr>
              <w:t>ISO/IEC 42001:2023 (Annexe A.3, A.6, A.9) &amp; NIST AI RMF</w:t>
            </w:r>
          </w:p>
        </w:tc>
      </w:tr>
      <w:tr>
        <w:tc>
          <w:tcPr>
            <w:tcW w:type="dxa" w:w="3600"/>
            <w:shd w:val="clear" w:color="auto" w:fill="EAEFF5"/>
            <w:tcMar>
              <w:top w:w="120" w:type="dxa"/>
              <w:bottom w:w="120" w:type="dxa"/>
              <w:left w:w="180" w:type="dxa"/>
              <w:right w:w="180" w:type="dxa"/>
            </w:tcMar>
          </w:tcPr>
          <w:p>
            <w:r>
              <w:rPr>
                <w:b/>
                <w:sz w:val="20"/>
              </w:rPr>
              <w:t>Cadre de Délégation</w:t>
            </w:r>
          </w:p>
        </w:tc>
        <w:tc>
          <w:tcPr>
            <w:tcW w:type="dxa" w:w="5760"/>
            <w:tcMar>
              <w:top w:w="120" w:type="dxa"/>
              <w:bottom w:w="120" w:type="dxa"/>
              <w:left w:w="180" w:type="dxa"/>
              <w:right w:w="180" w:type="dxa"/>
            </w:tcMar>
          </w:tcPr>
          <w:p>
            <w:r>
              <w:rPr>
                <w:sz w:val="20"/>
              </w:rPr>
              <w:t>Architecture Cognition Fusion &amp; Sidekick (Post-Opus 4.8 / Fable 5 / Opus 5)</w:t>
            </w:r>
          </w:p>
        </w:tc>
      </w:tr>
      <w:tr>
        <w:tc>
          <w:tcPr>
            <w:tcW w:type="dxa" w:w="3600"/>
            <w:shd w:val="clear" w:color="auto" w:fill="EAEFF5"/>
            <w:tcMar>
              <w:top w:w="120" w:type="dxa"/>
              <w:bottom w:w="120" w:type="dxa"/>
              <w:left w:w="180" w:type="dxa"/>
              <w:right w:w="180" w:type="dxa"/>
            </w:tcMar>
          </w:tcPr>
          <w:p>
            <w:r>
              <w:rPr>
                <w:b/>
                <w:sz w:val="20"/>
              </w:rPr>
              <w:t>Système de Contrôle &amp; Veto</w:t>
            </w:r>
          </w:p>
        </w:tc>
        <w:tc>
          <w:tcPr>
            <w:tcW w:type="dxa" w:w="5760"/>
            <w:tcMar>
              <w:top w:w="120" w:type="dxa"/>
              <w:bottom w:w="120" w:type="dxa"/>
              <w:left w:w="180" w:type="dxa"/>
              <w:right w:w="180" w:type="dxa"/>
            </w:tcMar>
          </w:tcPr>
          <w:p>
            <w:r>
              <w:rPr>
                <w:sz w:val="20"/>
              </w:rPr>
              <w:t>Matrice SYNTHEX-VET-v1.0 (Niveaux 0 à 4)</w:t>
            </w:r>
          </w:p>
        </w:tc>
      </w:tr>
      <w:tr>
        <w:tc>
          <w:tcPr>
            <w:tcW w:type="dxa" w:w="3600"/>
            <w:shd w:val="clear" w:color="auto" w:fill="EAEFF5"/>
            <w:tcMar>
              <w:top w:w="120" w:type="dxa"/>
              <w:bottom w:w="120" w:type="dxa"/>
              <w:left w:w="180" w:type="dxa"/>
              <w:right w:w="180" w:type="dxa"/>
            </w:tcMar>
          </w:tcPr>
          <w:p>
            <w:r>
              <w:rPr>
                <w:b/>
                <w:sz w:val="20"/>
              </w:rPr>
              <w:t>Date d'approbation &amp; Version</w:t>
            </w:r>
          </w:p>
        </w:tc>
        <w:tc>
          <w:tcPr>
            <w:tcW w:type="dxa" w:w="5760"/>
            <w:tcMar>
              <w:top w:w="120" w:type="dxa"/>
              <w:bottom w:w="120" w:type="dxa"/>
              <w:left w:w="180" w:type="dxa"/>
              <w:right w:w="180" w:type="dxa"/>
            </w:tcMar>
          </w:tcPr>
          <w:p>
            <w:r>
              <w:rPr>
                <w:sz w:val="20"/>
              </w:rPr>
              <w:t>20 août 2026 — Version 2.0 Officielle</w:t>
            </w:r>
          </w:p>
        </w:tc>
      </w:tr>
    </w:tbl>
    <w:p>
      <w:pPr>
        <w:spacing w:after="240"/>
      </w:pPr>
    </w:p>
    <w:p>
      <w:pPr>
        <w:pStyle w:val="Heading1"/>
        <w:spacing w:before="280" w:after="120"/>
      </w:pPr>
      <w:r>
        <w:rPr>
          <w:b/>
          <w:color w:val="102C57"/>
          <w:sz w:val="36"/>
        </w:rPr>
        <w:t>1. Diagnostic &amp; Révolution Managériale (Faits Cognition AI)</w:t>
      </w:r>
    </w:p>
    <w:p>
      <w:r>
        <w:t>L'évaluation empirique sur 3 000 sessions menée par Cognition AI a démontré une rupture fondamentale dans la gouvernance des systèmes d'agents autonomes : le coût et l'intelligence d'une organisation agentique ne sont pas régis par le prix unitaire du token, mais par l'efficacité du management.</w:t>
      </w:r>
    </w:p>
    <w:tbl>
      <w:tblPr>
        <w:tblW w:type="auto" w:w="0"/>
        <w:jc w:val="center"/>
        <w:tblLook w:firstColumn="1" w:firstRow="1" w:lastColumn="0" w:lastRow="0" w:noHBand="0" w:noVBand="1" w:val="04A0"/>
      </w:tblPr>
      <w:tblGrid>
        <w:gridCol w:w="9360"/>
      </w:tblGrid>
      <w:tr>
        <w:tc>
          <w:tcPr>
            <w:tcW w:type="dxa" w:w="9360"/>
            <w:shd w:val="clear" w:color="auto" w:fill="F0F4F8"/>
            <w:tcMar>
              <w:top w:w="140" w:type="dxa"/>
              <w:bottom w:w="140" w:type="dxa"/>
              <w:left w:w="200" w:type="dxa"/>
              <w:right w:w="200" w:type="dxa"/>
            </w:tcMar>
          </w:tcPr>
          <w:p>
            <w:pPr>
              <w:spacing w:before="80" w:after="80"/>
            </w:pPr>
            <w:r>
              <w:rPr>
                <w:b/>
                <w:color w:val="102C57"/>
              </w:rPr>
              <w:t xml:space="preserve">📌 DÉCOUVERTE CLÉ DU RAPPORT COGNITION : </w:t>
            </w:r>
            <w:r>
              <w:rPr>
                <w:color w:val="282828"/>
              </w:rPr>
              <w:t>Un modèle Frontier plus cher à l'unité (Fable 5 / GPT-5.6 Sol / Claude Opus 5) s'avère 54 % moins cher par tâche globale ($1.86 vs $2.04) et 11 % plus performant lorsqu'il opère selon le paradigme 'Manager avec Ingénieur' plutôt que 'Micromanager avec Stagiaire'. Le Lead délègue dès le 1er tour, émet des Spec-Quality Briefs et ne touche jamais au code ou aux données brutes directement.</w:t>
            </w:r>
          </w:p>
        </w:tc>
      </w:tr>
    </w:tbl>
    <w:p>
      <w:pPr>
        <w:spacing w:after="120"/>
      </w:pPr>
    </w:p>
    <w:p>
      <w:pPr>
        <w:pStyle w:val="Heading1"/>
        <w:spacing w:before="280" w:after="120"/>
      </w:pPr>
      <w:r>
        <w:rPr>
          <w:b/>
          <w:color w:val="102C57"/>
          <w:sz w:val="36"/>
        </w:rPr>
        <w:t>2. Les 4 Règles d'Or de la Doctrine SYNTHEX V2.0</w:t>
      </w:r>
    </w:p>
    <w:p>
      <w:pPr>
        <w:spacing w:after="80"/>
        <w:ind w:left="360"/>
      </w:pPr>
      <w:r>
        <w:rPr>
          <w:b/>
          <w:color w:val="1E56A0"/>
        </w:rPr>
        <w:t>1. Délégation Ultra-Précoce :</w:t>
      </w:r>
      <w:r>
        <w:t xml:space="preserve"> Les agents Lead (MINERVA, PROMETHEUS) délèguent dès le 1er tour au lieu d'explorer ou de rédiger en solo.</w:t>
      </w:r>
    </w:p>
    <w:p>
      <w:pPr>
        <w:spacing w:after="80"/>
        <w:ind w:left="360"/>
      </w:pPr>
      <w:r>
        <w:rPr>
          <w:b/>
          <w:color w:val="1E56A0"/>
        </w:rPr>
        <w:t>2. Spec-Quality Briefing :</w:t>
      </w:r>
      <w:r>
        <w:t xml:space="preserve"> Chaque tâche déléguée comporte un objectif unique, un contexte minimal transmis, des contraintes non négociables (SLA, plafonds financiers, ISO 42001) et une Definition of Done testable.</w:t>
      </w:r>
    </w:p>
    <w:p>
      <w:pPr>
        <w:spacing w:after="80"/>
        <w:ind w:left="360"/>
      </w:pPr>
      <w:r>
        <w:rPr>
          <w:b/>
          <w:color w:val="1E56A0"/>
        </w:rPr>
        <w:t>3. Zéro Édition Directe par le Sommet :</w:t>
      </w:r>
      <w:r>
        <w:t xml:space="preserve"> Dans plus de 80 % des exécutions réussies, le superviseur ne modifie aucun fichier à la main et renvoie les corrections sous forme de feedback aux Sidekicks.</w:t>
      </w:r>
    </w:p>
    <w:p>
      <w:pPr>
        <w:spacing w:after="80"/>
        <w:ind w:left="360"/>
      </w:pPr>
      <w:r>
        <w:rPr>
          <w:b/>
          <w:color w:val="1E56A0"/>
        </w:rPr>
        <w:t>4. Revue Différentielle Légère :</w:t>
      </w:r>
      <w:r>
        <w:t xml:space="preserve"> La validation s'effectue exclusivement par examen de deltas (git diff, statuts JSON compacts) sans jamais réingérer les masses documentaires dans le contexte du Lead.</w:t>
      </w:r>
    </w:p>
    <w:p>
      <w:pPr>
        <w:pStyle w:val="Heading1"/>
        <w:spacing w:before="280" w:after="120"/>
      </w:pPr>
      <w:r>
        <w:rPr>
          <w:b/>
          <w:color w:val="102C57"/>
          <w:sz w:val="36"/>
        </w:rPr>
        <w:t>3. Matrice de Veto Présidentiel (SYNTHEX-VET-v1.0)</w:t>
      </w:r>
    </w:p>
    <w:tbl>
      <w:tblPr>
        <w:tblW w:type="auto" w:w="0"/>
        <w:jc w:val="center"/>
        <w:tblLook w:firstColumn="1" w:firstRow="1" w:lastColumn="0" w:lastRow="0" w:noHBand="0" w:noVBand="1" w:val="04A0"/>
      </w:tblPr>
      <w:tblGrid>
        <w:gridCol w:w="3120"/>
        <w:gridCol w:w="3120"/>
        <w:gridCol w:w="3120"/>
      </w:tblGrid>
      <w:tr>
        <w:tc>
          <w:tcPr>
            <w:tcW w:type="dxa" w:w="3120"/>
            <w:shd w:val="clear" w:color="auto" w:fill="102C57"/>
            <w:tcMar>
              <w:top w:w="120" w:type="dxa"/>
              <w:bottom w:w="120" w:type="dxa"/>
              <w:left w:w="180" w:type="dxa"/>
              <w:right w:w="180" w:type="dxa"/>
            </w:tcMar>
          </w:tcPr>
          <w:p>
            <w:r>
              <w:rPr>
                <w:b/>
                <w:color w:val="FFFFFF"/>
                <w:sz w:val="20"/>
              </w:rPr>
              <w:t>Niveau de Veto</w:t>
            </w:r>
          </w:p>
        </w:tc>
        <w:tc>
          <w:tcPr>
            <w:tcW w:type="dxa" w:w="3120"/>
            <w:shd w:val="clear" w:color="auto" w:fill="102C57"/>
            <w:tcMar>
              <w:top w:w="120" w:type="dxa"/>
              <w:bottom w:w="120" w:type="dxa"/>
              <w:left w:w="180" w:type="dxa"/>
              <w:right w:w="180" w:type="dxa"/>
            </w:tcMar>
          </w:tcPr>
          <w:p>
            <w:r>
              <w:rPr>
                <w:b/>
                <w:color w:val="FFFFFF"/>
                <w:sz w:val="20"/>
              </w:rPr>
              <w:t>Règle d'Exécution</w:t>
            </w:r>
          </w:p>
        </w:tc>
        <w:tc>
          <w:tcPr>
            <w:tcW w:type="dxa" w:w="3120"/>
            <w:shd w:val="clear" w:color="auto" w:fill="102C57"/>
            <w:tcMar>
              <w:top w:w="120" w:type="dxa"/>
              <w:bottom w:w="120" w:type="dxa"/>
              <w:left w:w="180" w:type="dxa"/>
              <w:right w:w="180" w:type="dxa"/>
            </w:tcMar>
          </w:tcPr>
          <w:p>
            <w:r>
              <w:rPr>
                <w:b/>
                <w:color w:val="FFFFFF"/>
                <w:sz w:val="20"/>
              </w:rPr>
              <w:t>Champs d'Application</w:t>
            </w:r>
          </w:p>
        </w:tc>
      </w:tr>
      <w:tr>
        <w:tc>
          <w:tcPr>
            <w:tcW w:type="dxa" w:w="3120"/>
            <w:shd w:val="clear" w:color="auto" w:fill="F0F4F8"/>
            <w:tcMar>
              <w:top w:w="120" w:type="dxa"/>
              <w:bottom w:w="120" w:type="dxa"/>
              <w:left w:w="180" w:type="dxa"/>
              <w:right w:w="180" w:type="dxa"/>
            </w:tcMar>
          </w:tcPr>
          <w:p>
            <w:r>
              <w:rPr>
                <w:b/>
                <w:sz w:val="19"/>
              </w:rPr>
              <w:t>NIVEAU 0 : Veto Absolu</w:t>
            </w:r>
          </w:p>
        </w:tc>
        <w:tc>
          <w:tcPr>
            <w:tcW w:type="dxa" w:w="3120"/>
            <w:tcMar>
              <w:top w:w="120" w:type="dxa"/>
              <w:bottom w:w="120" w:type="dxa"/>
              <w:left w:w="180" w:type="dxa"/>
              <w:right w:w="180" w:type="dxa"/>
            </w:tcMar>
          </w:tcPr>
          <w:p>
            <w:r>
              <w:rPr>
                <w:sz w:val="19"/>
              </w:rPr>
              <w:t>Arrêt strict. Requiert un approval_token cryptographique du Président.</w:t>
            </w:r>
          </w:p>
        </w:tc>
        <w:tc>
          <w:tcPr>
            <w:tcW w:type="dxa" w:w="3120"/>
            <w:tcMar>
              <w:top w:w="120" w:type="dxa"/>
              <w:bottom w:w="120" w:type="dxa"/>
              <w:left w:w="180" w:type="dxa"/>
              <w:right w:w="180" w:type="dxa"/>
            </w:tcMar>
          </w:tcPr>
          <w:p>
            <w:r>
              <w:rPr>
                <w:sz w:val="19"/>
              </w:rPr>
              <w:t>Dépenses &gt;= 500 CAD, modification des modèles de base, déploiement production, suspension d'agent, suppression de bases.</w:t>
            </w:r>
          </w:p>
        </w:tc>
      </w:tr>
      <w:tr>
        <w:tc>
          <w:tcPr>
            <w:tcW w:type="dxa" w:w="3120"/>
            <w:shd w:val="clear" w:color="auto" w:fill="F0F4F8"/>
            <w:tcMar>
              <w:top w:w="120" w:type="dxa"/>
              <w:bottom w:w="120" w:type="dxa"/>
              <w:left w:w="180" w:type="dxa"/>
              <w:right w:w="180" w:type="dxa"/>
            </w:tcMar>
          </w:tcPr>
          <w:p>
            <w:r>
              <w:rPr>
                <w:b/>
                <w:sz w:val="19"/>
              </w:rPr>
              <w:t>NIVEAU 1 : Approbation Préalable</w:t>
            </w:r>
          </w:p>
        </w:tc>
        <w:tc>
          <w:tcPr>
            <w:tcW w:type="dxa" w:w="3120"/>
            <w:tcMar>
              <w:top w:w="120" w:type="dxa"/>
              <w:bottom w:w="120" w:type="dxa"/>
              <w:left w:w="180" w:type="dxa"/>
              <w:right w:w="180" w:type="dxa"/>
            </w:tcMar>
          </w:tcPr>
          <w:p>
            <w:r>
              <w:rPr>
                <w:sz w:val="19"/>
              </w:rPr>
              <w:t>Production de draft complet et mise en attente de la validation écrite.</w:t>
            </w:r>
          </w:p>
        </w:tc>
        <w:tc>
          <w:tcPr>
            <w:tcW w:type="dxa" w:w="3120"/>
            <w:tcMar>
              <w:top w:w="120" w:type="dxa"/>
              <w:bottom w:w="120" w:type="dxa"/>
              <w:left w:w="180" w:type="dxa"/>
              <w:right w:w="180" w:type="dxa"/>
            </w:tcMar>
          </w:tcPr>
          <w:p>
            <w:r>
              <w:rPr>
                <w:sz w:val="19"/>
              </w:rPr>
              <w:t>Dépenses &lt; 500 CAD, publication externe officielle (clients, réseaux sociaux), modification de prompts système.</w:t>
            </w:r>
          </w:p>
        </w:tc>
      </w:tr>
      <w:tr>
        <w:tc>
          <w:tcPr>
            <w:tcW w:type="dxa" w:w="3120"/>
            <w:shd w:val="clear" w:color="auto" w:fill="F0F4F8"/>
            <w:tcMar>
              <w:top w:w="120" w:type="dxa"/>
              <w:bottom w:w="120" w:type="dxa"/>
              <w:left w:w="180" w:type="dxa"/>
              <w:right w:w="180" w:type="dxa"/>
            </w:tcMar>
          </w:tcPr>
          <w:p>
            <w:r>
              <w:rPr>
                <w:b/>
                <w:sz w:val="19"/>
              </w:rPr>
              <w:t>NIVEAU 2 : Droit d'Opposition</w:t>
            </w:r>
          </w:p>
        </w:tc>
        <w:tc>
          <w:tcPr>
            <w:tcW w:type="dxa" w:w="3120"/>
            <w:tcMar>
              <w:top w:w="120" w:type="dxa"/>
              <w:bottom w:w="120" w:type="dxa"/>
              <w:left w:w="180" w:type="dxa"/>
              <w:right w:w="180" w:type="dxa"/>
            </w:tcMar>
          </w:tcPr>
          <w:p>
            <w:r>
              <w:rPr>
                <w:sz w:val="19"/>
              </w:rPr>
              <w:t>Exécution avec notification immédiate via HERMES ; réversible sous 24h.</w:t>
            </w:r>
          </w:p>
        </w:tc>
        <w:tc>
          <w:tcPr>
            <w:tcW w:type="dxa" w:w="3120"/>
            <w:tcMar>
              <w:top w:w="120" w:type="dxa"/>
              <w:bottom w:w="120" w:type="dxa"/>
              <w:left w:w="180" w:type="dxa"/>
              <w:right w:w="180" w:type="dxa"/>
            </w:tcMar>
          </w:tcPr>
          <w:p>
            <w:r>
              <w:rPr>
                <w:sz w:val="19"/>
              </w:rPr>
              <w:t>Publications internes, maintenance routinière, rapports stratégiques non publics, mise à jour dashboard ATLAS.</w:t>
            </w:r>
          </w:p>
        </w:tc>
      </w:tr>
      <w:tr>
        <w:tc>
          <w:tcPr>
            <w:tcW w:type="dxa" w:w="3120"/>
            <w:shd w:val="clear" w:color="auto" w:fill="F0F4F8"/>
            <w:tcMar>
              <w:top w:w="120" w:type="dxa"/>
              <w:bottom w:w="120" w:type="dxa"/>
              <w:left w:w="180" w:type="dxa"/>
              <w:right w:w="180" w:type="dxa"/>
            </w:tcMar>
          </w:tcPr>
          <w:p>
            <w:r>
              <w:rPr>
                <w:b/>
                <w:sz w:val="19"/>
              </w:rPr>
              <w:t>NIVEAU 3 : Autonomie Encadrée</w:t>
            </w:r>
          </w:p>
        </w:tc>
        <w:tc>
          <w:tcPr>
            <w:tcW w:type="dxa" w:w="3120"/>
            <w:tcMar>
              <w:top w:w="120" w:type="dxa"/>
              <w:bottom w:w="120" w:type="dxa"/>
              <w:left w:w="180" w:type="dxa"/>
              <w:right w:w="180" w:type="dxa"/>
            </w:tcMar>
          </w:tcPr>
          <w:p>
            <w:r>
              <w:rPr>
                <w:sz w:val="19"/>
              </w:rPr>
              <w:t>Exécution autonome dans les limites strictes du contrat JSON.</w:t>
            </w:r>
          </w:p>
        </w:tc>
        <w:tc>
          <w:tcPr>
            <w:tcW w:type="dxa" w:w="3120"/>
            <w:tcMar>
              <w:top w:w="120" w:type="dxa"/>
              <w:bottom w:w="120" w:type="dxa"/>
              <w:left w:w="180" w:type="dxa"/>
              <w:right w:w="180" w:type="dxa"/>
            </w:tcMar>
          </w:tcPr>
          <w:p>
            <w:r>
              <w:rPr>
                <w:sz w:val="19"/>
              </w:rPr>
              <w:t>Communications inter-agents, requêtes RAG internes, génération de drafts marketing, calculs statistiques.</w:t>
            </w:r>
          </w:p>
        </w:tc>
      </w:tr>
      <w:tr>
        <w:tc>
          <w:tcPr>
            <w:tcW w:type="dxa" w:w="3120"/>
            <w:shd w:val="clear" w:color="auto" w:fill="F0F4F8"/>
            <w:tcMar>
              <w:top w:w="120" w:type="dxa"/>
              <w:bottom w:w="120" w:type="dxa"/>
              <w:left w:w="180" w:type="dxa"/>
              <w:right w:w="180" w:type="dxa"/>
            </w:tcMar>
          </w:tcPr>
          <w:p>
            <w:r>
              <w:rPr>
                <w:b/>
                <w:sz w:val="19"/>
              </w:rPr>
              <w:t>NIVEAU 4 : Autonomie Complète</w:t>
            </w:r>
          </w:p>
        </w:tc>
        <w:tc>
          <w:tcPr>
            <w:tcW w:type="dxa" w:w="3120"/>
            <w:tcMar>
              <w:top w:w="120" w:type="dxa"/>
              <w:bottom w:w="120" w:type="dxa"/>
              <w:left w:w="180" w:type="dxa"/>
              <w:right w:w="180" w:type="dxa"/>
            </w:tcMar>
          </w:tcPr>
          <w:p>
            <w:r>
              <w:rPr>
                <w:sz w:val="19"/>
              </w:rPr>
              <w:t>Exécution automatique en boucle locale sans notification individuelle.</w:t>
            </w:r>
          </w:p>
        </w:tc>
        <w:tc>
          <w:tcPr>
            <w:tcW w:type="dxa" w:w="3120"/>
            <w:tcMar>
              <w:top w:w="120" w:type="dxa"/>
              <w:bottom w:w="120" w:type="dxa"/>
              <w:left w:w="180" w:type="dxa"/>
              <w:right w:w="180" w:type="dxa"/>
            </w:tcMar>
          </w:tcPr>
          <w:p>
            <w:r>
              <w:rPr>
                <w:sz w:val="19"/>
              </w:rPr>
              <w:t>Scans de veille, calculs de monitoring, indexations Pinecone, vérifications de syntaxe JSON.</w:t>
            </w:r>
          </w:p>
        </w:tc>
      </w:tr>
    </w:tbl>
    <w:p>
      <w:pPr>
        <w:spacing w:after="240"/>
      </w:pPr>
    </w:p>
    <w:p>
      <w:pPr>
        <w:pStyle w:val="Heading1"/>
        <w:spacing w:before="280" w:after="120"/>
      </w:pPr>
      <w:r>
        <w:rPr>
          <w:b/>
          <w:color w:val="102C57"/>
          <w:sz w:val="36"/>
        </w:rPr>
        <w:t>4. Fiches de Poste Exhaustives des 13 Agents Spécialisés</w:t>
      </w:r>
    </w:p>
    <w:p>
      <w:pPr>
        <w:pStyle w:val="Heading2"/>
        <w:spacing w:before="280" w:after="120"/>
      </w:pPr>
      <w:r>
        <w:rPr>
          <w:b/>
          <w:color w:val="1E56A0"/>
          <w:sz w:val="28"/>
        </w:rPr>
        <w:t>Agent MINERVA — Agent Stratégique et Rapports Exécutifs</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SYNTHEX-MINERVA-01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3 — Supervision Stratégique | Claude Fable 5 / GPT-5.6 Sol / Claude Opus 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Frontier Lead Stratégique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2 (rapports internes) ; NIVEAU 1 (communications stratégiques externes)</w:t>
            </w:r>
          </w:p>
        </w:tc>
      </w:tr>
    </w:tbl>
    <w:p>
      <w:pPr>
        <w:spacing w:after="80"/>
      </w:pPr>
    </w:p>
    <w:p>
      <w:r>
        <w:rPr>
          <w:b/>
          <w:color w:val="102C57"/>
        </w:rPr>
        <w:t xml:space="preserve">Mission Principale : </w:t>
      </w:r>
      <w:r>
        <w:t>Synthétiser les inputs de tous les agents opérationnels pour produire les rapports exécutifs du président, formuler les recommandations stratégiques et maintenir l'alignement des objectifs d'IA de SYNTHEX.</w:t>
      </w:r>
    </w:p>
    <w:p>
      <w:pPr>
        <w:spacing w:after="40"/>
      </w:pPr>
      <w:r>
        <w:rPr>
          <w:b/>
        </w:rPr>
        <w:t>Responsabilités &amp; Activités Clés :</w:t>
      </w:r>
    </w:p>
    <w:p>
      <w:pPr>
        <w:spacing w:after="40"/>
        <w:ind w:left="288"/>
      </w:pPr>
      <w:r>
        <w:rPr>
          <w:b/>
        </w:rPr>
        <w:t xml:space="preserve">• </w:t>
      </w:r>
      <w:r>
        <w:t>Cadrer les objectifs stratégiques de SYNTHEX et les décomposer en Spec-Quality Briefs pour les agents spécialisés.</w:t>
      </w:r>
    </w:p>
    <w:p>
      <w:pPr>
        <w:spacing w:after="40"/>
        <w:ind w:left="288"/>
      </w:pPr>
      <w:r>
        <w:rPr>
          <w:b/>
        </w:rPr>
        <w:t xml:space="preserve">• </w:t>
      </w:r>
      <w:r>
        <w:t>Consolider les rapports de veille (ARES), de performance financière (MERCURY/ATLAS), de conformité (THEMIS) et de développement (PROMETHEUS).</w:t>
      </w:r>
    </w:p>
    <w:p>
      <w:pPr>
        <w:spacing w:after="40"/>
        <w:ind w:left="288"/>
      </w:pPr>
      <w:r>
        <w:rPr>
          <w:b/>
        </w:rPr>
        <w:t xml:space="preserve">• </w:t>
      </w:r>
      <w:r>
        <w:t>Rédiger les recommandations décisionnelles avec analyse bénéfices/risques et alternatives.</w:t>
      </w:r>
    </w:p>
    <w:p>
      <w:pPr>
        <w:spacing w:after="40"/>
        <w:ind w:left="288"/>
      </w:pPr>
      <w:r>
        <w:rPr>
          <w:b/>
        </w:rPr>
        <w:t xml:space="preserve">• </w:t>
      </w:r>
      <w:r>
        <w:t>Règle Anti-Micromanagement : Ne jamais générer soi-même les données brutes ou les analyses intermédiaires. Réaliser uniquement des revues de synthèse différentielles.</w:t>
      </w:r>
    </w:p>
    <w:p>
      <w:pPr>
        <w:spacing w:before="80"/>
      </w:pPr>
      <w:r>
        <w:rPr>
          <w:b/>
        </w:rPr>
        <w:t xml:space="preserve">Outils Autorisés : </w:t>
      </w:r>
      <w:r>
        <w:t>all_agent_outputs_read, pinecone_read, document_write_internal, notification_send_president</w:t>
      </w:r>
      <w:r>
        <w:t xml:space="preserve">  |  </w:t>
      </w:r>
      <w:r>
        <w:rPr>
          <w:b/>
          <w:color w:val="A01E1E"/>
        </w:rPr>
        <w:t xml:space="preserve">Outils Interdits : </w:t>
      </w:r>
      <w:r>
        <w:t>financial_transaction, external_communicate_without_approval, agent_modify_config, code_edit_direct</w:t>
      </w:r>
    </w:p>
    <w:p>
      <w:pPr>
        <w:spacing w:after="200"/>
      </w:pPr>
      <w:r>
        <w:rPr>
          <w:b/>
        </w:rPr>
        <w:t xml:space="preserve">Conditions d'Arrêt &amp; Handoffs : </w:t>
      </w:r>
      <w:r>
        <w:t>Arrêt: Rapport exécutif finalisé avec validation de tous les contrats entrants. — Handoff: Président (rapport exécutif), THEMIS (conformité), OUROBOROS (amélioration).</w:t>
      </w:r>
    </w:p>
    <w:p>
      <w:pPr>
        <w:pStyle w:val="Heading2"/>
        <w:spacing w:before="280" w:after="120"/>
      </w:pPr>
      <w:r>
        <w:rPr>
          <w:b/>
          <w:color w:val="1E56A0"/>
          <w:sz w:val="28"/>
        </w:rPr>
        <w:t>Agent PROMETHEUS — Agent de Développement Produit et Innovation</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SYNTHEX-PROMETHEUS-01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2 — Coordination &amp; Architecture Produit | Claude Fable 5 / Claude Opus 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Frontier Lead Technique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3 (spécifications internes) ; NIVEAU 1 (modifications d'architecture) ; NIVEAU 0 (déploiement production)</w:t>
            </w:r>
          </w:p>
        </w:tc>
      </w:tr>
    </w:tbl>
    <w:p>
      <w:pPr>
        <w:spacing w:after="80"/>
      </w:pPr>
    </w:p>
    <w:p>
      <w:r>
        <w:rPr>
          <w:b/>
          <w:color w:val="102C57"/>
        </w:rPr>
        <w:t xml:space="preserve">Mission Principale : </w:t>
      </w:r>
      <w:r>
        <w:t>Concevoir l'architecture produit, définir la roadmap des modules logiciels et agentiques de SYNTHEX, et émettre les spécifications techniques de haut niveau pour l'agent d'infrastructure (VULCAN) et les agents de développement.</w:t>
      </w:r>
    </w:p>
    <w:p>
      <w:pPr>
        <w:spacing w:after="40"/>
      </w:pPr>
      <w:r>
        <w:rPr>
          <w:b/>
        </w:rPr>
        <w:t>Responsabilités &amp; Activités Clés :</w:t>
      </w:r>
    </w:p>
    <w:p>
      <w:pPr>
        <w:spacing w:after="40"/>
        <w:ind w:left="288"/>
      </w:pPr>
      <w:r>
        <w:rPr>
          <w:b/>
        </w:rPr>
        <w:t xml:space="preserve">• </w:t>
      </w:r>
      <w:r>
        <w:t>Écrire des spécifications modulaires rigoureuses (spec-quality briefs) incluant les contraintes d'interopérabilité (APIs, WebSockets, Pinecone, LangGraph).</w:t>
      </w:r>
    </w:p>
    <w:p>
      <w:pPr>
        <w:spacing w:after="40"/>
        <w:ind w:left="288"/>
      </w:pPr>
      <w:r>
        <w:rPr>
          <w:b/>
        </w:rPr>
        <w:t xml:space="preserve">• </w:t>
      </w:r>
      <w:r>
        <w:t>Découper les fonctionnalités en micro-tâches atomiques et testables.</w:t>
      </w:r>
    </w:p>
    <w:p>
      <w:pPr>
        <w:spacing w:after="40"/>
        <w:ind w:left="288"/>
      </w:pPr>
      <w:r>
        <w:rPr>
          <w:b/>
        </w:rPr>
        <w:t xml:space="preserve">• </w:t>
      </w:r>
      <w:r>
        <w:t>Conduire la revue de code et d'architecture par examen strict des diffs (git diff).</w:t>
      </w:r>
    </w:p>
    <w:p>
      <w:pPr>
        <w:spacing w:after="40"/>
        <w:ind w:left="288"/>
      </w:pPr>
      <w:r>
        <w:rPr>
          <w:b/>
        </w:rPr>
        <w:t xml:space="preserve">• </w:t>
      </w:r>
      <w:r>
        <w:t>Règle Anti-Micromanagement : Interdiction d'écrire le code d'implémentation à la main. Déléguer 100% de la programmation à VULCAN et aux Sidekicks de code.</w:t>
      </w:r>
    </w:p>
    <w:p>
      <w:pPr>
        <w:spacing w:before="80"/>
      </w:pPr>
      <w:r>
        <w:rPr>
          <w:b/>
        </w:rPr>
        <w:t xml:space="preserve">Outils Autorisés : </w:t>
      </w:r>
      <w:r>
        <w:t>architecture_design, code_review_diff, pinecone_read, document_write_internal</w:t>
      </w:r>
      <w:r>
        <w:t xml:space="preserve">  |  </w:t>
      </w:r>
      <w:r>
        <w:rPr>
          <w:b/>
          <w:color w:val="A01E1E"/>
        </w:rPr>
        <w:t xml:space="preserve">Outils Interdits : </w:t>
      </w:r>
      <w:r>
        <w:t>production_deploy_without_veto0, model_swap_without_president, database_direct_write</w:t>
      </w:r>
    </w:p>
    <w:p>
      <w:pPr>
        <w:spacing w:after="200"/>
      </w:pPr>
      <w:r>
        <w:rPr>
          <w:b/>
        </w:rPr>
        <w:t xml:space="preserve">Conditions d'Arrêt &amp; Handoffs : </w:t>
      </w:r>
      <w:r>
        <w:t>Arrêt: Spécification complète et validée contre les exigences de sécurité et d'évolutivité. — Handoff: VULCAN (implémentation technique), THEMIS (validation conformité), Président (approbation déploiement).</w:t>
      </w:r>
    </w:p>
    <w:p>
      <w:pPr>
        <w:pStyle w:val="Heading2"/>
        <w:spacing w:before="280" w:after="120"/>
      </w:pPr>
      <w:r>
        <w:rPr>
          <w:b/>
          <w:color w:val="1E56A0"/>
          <w:sz w:val="28"/>
        </w:rPr>
        <w:t>Agent THEMIS — Agent de Conformité, Gouvernance et Audit ISO 42001</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SYNTHEX-THEMIS-01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4 — Méta-Gouvernance | Claude Opus 5 / GPT-5.6 Terra</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Spécialiste Audit &amp; Droit du Numérique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1 (rapports de conformité) ; NIVEAU 0 (suspension d'agent pour non-conformité critique)</w:t>
            </w:r>
          </w:p>
        </w:tc>
      </w:tr>
    </w:tbl>
    <w:p>
      <w:pPr>
        <w:spacing w:after="80"/>
      </w:pPr>
    </w:p>
    <w:p>
      <w:r>
        <w:rPr>
          <w:b/>
          <w:color w:val="102C57"/>
        </w:rPr>
        <w:t xml:space="preserve">Mission Principale : </w:t>
      </w:r>
      <w:r>
        <w:t>Assurer la gouvernance globale de l'IA chez SYNTHEX, maintenir le Système de Management de l'IA conforme au standard ISO/IEC 42001:2023 (38 contrôles de la SoA), auditer la traçabilité des 12 agents et vérifier le respect des contrats JSON.</w:t>
      </w:r>
    </w:p>
    <w:p>
      <w:pPr>
        <w:spacing w:after="40"/>
      </w:pPr>
      <w:r>
        <w:rPr>
          <w:b/>
        </w:rPr>
        <w:t>Responsabilités &amp; Activités Clés :</w:t>
      </w:r>
    </w:p>
    <w:p>
      <w:pPr>
        <w:spacing w:after="40"/>
        <w:ind w:left="288"/>
      </w:pPr>
      <w:r>
        <w:rPr>
          <w:b/>
        </w:rPr>
        <w:t xml:space="preserve">• </w:t>
      </w:r>
      <w:r>
        <w:t>Conduire les audits internes réguliers des logs d'inférence de chaque agent.</w:t>
      </w:r>
    </w:p>
    <w:p>
      <w:pPr>
        <w:spacing w:after="40"/>
        <w:ind w:left="288"/>
      </w:pPr>
      <w:r>
        <w:rPr>
          <w:b/>
        </w:rPr>
        <w:t xml:space="preserve">• </w:t>
      </w:r>
      <w:r>
        <w:t>Vérifier la présence obligatoire des métadonnées de traçabilité (version de modèle, seed, température, justifications d'écarts).</w:t>
      </w:r>
    </w:p>
    <w:p>
      <w:pPr>
        <w:spacing w:after="40"/>
        <w:ind w:left="288"/>
      </w:pPr>
      <w:r>
        <w:rPr>
          <w:b/>
        </w:rPr>
        <w:t xml:space="preserve">• </w:t>
      </w:r>
      <w:r>
        <w:t>Signaler immédiatement toute tentative de contournement des seuils de veto (ex. tentative de paiement Mercury sans approval_token).</w:t>
      </w:r>
    </w:p>
    <w:p>
      <w:pPr>
        <w:spacing w:after="40"/>
        <w:ind w:left="288"/>
      </w:pPr>
      <w:r>
        <w:rPr>
          <w:b/>
        </w:rPr>
        <w:t xml:space="preserve">• </w:t>
      </w:r>
      <w:r>
        <w:t>Maintenir à jour le registre des risques IA et la matrice SoA.</w:t>
      </w:r>
    </w:p>
    <w:p>
      <w:pPr>
        <w:spacing w:before="80"/>
      </w:pPr>
      <w:r>
        <w:rPr>
          <w:b/>
        </w:rPr>
        <w:t xml:space="preserve">Outils Autorisés : </w:t>
      </w:r>
      <w:r>
        <w:t>all_agent_logs_read, audit_trail_read, soa_write, compliance_report_write</w:t>
      </w:r>
      <w:r>
        <w:t xml:space="preserve">  |  </w:t>
      </w:r>
      <w:r>
        <w:rPr>
          <w:b/>
          <w:color w:val="A01E1E"/>
        </w:rPr>
        <w:t xml:space="preserve">Outils Interdits : </w:t>
      </w:r>
      <w:r>
        <w:t>financial_transaction, agent_stop_without_president_approval_except_critical</w:t>
      </w:r>
    </w:p>
    <w:p>
      <w:pPr>
        <w:spacing w:after="200"/>
      </w:pPr>
      <w:r>
        <w:rPr>
          <w:b/>
        </w:rPr>
        <w:t xml:space="preserve">Conditions d'Arrêt &amp; Handoffs : </w:t>
      </w:r>
      <w:r>
        <w:t>Arrêt: Audit terminé, rapport horodaté transmis au Président et archivé. — Handoff: Président (rapport conformité), OUROBOROS (patterns d'amélioration), MINERVA (intégration rapport exécutif).</w:t>
      </w:r>
    </w:p>
    <w:p>
      <w:pPr>
        <w:pStyle w:val="Heading2"/>
        <w:spacing w:before="280" w:after="120"/>
      </w:pPr>
      <w:r>
        <w:rPr>
          <w:b/>
          <w:color w:val="1E56A0"/>
          <w:sz w:val="28"/>
        </w:rPr>
        <w:t>Agent OUROBOROS — Agent d'Auto-Évaluation et Réflexion Continue</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SYNTHEX-OUROBOROS-01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4 — Méta-Gouvernance (Pattern Reflexion Découplé) | Claude Opus 5 / GPT-5.6 Terra</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Moteur d'Évaluation à Froid Découplé</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1 (modifications de prompts système) ; NIVEAU 0 (modifications des modèles de base)</w:t>
            </w:r>
          </w:p>
        </w:tc>
      </w:tr>
    </w:tbl>
    <w:p>
      <w:pPr>
        <w:spacing w:after="80"/>
      </w:pPr>
    </w:p>
    <w:p>
      <w:r>
        <w:rPr>
          <w:b/>
          <w:color w:val="102C57"/>
        </w:rPr>
        <w:t xml:space="preserve">Mission Principale : </w:t>
      </w:r>
      <w:r>
        <w:t>Surveiller la qualité, la dérive sémantique (semantic drift), le phénomène de mode collapse et l'efficience coût/tokens de l'ensemble des agents SYNTHEX. Formuler des optimisations de prompts et déclencher les rollbacks d'infrastructure en cas de dégradation.</w:t>
      </w:r>
    </w:p>
    <w:p>
      <w:pPr>
        <w:spacing w:after="40"/>
      </w:pPr>
      <w:r>
        <w:rPr>
          <w:b/>
        </w:rPr>
        <w:t>Responsabilités &amp; Activités Clés :</w:t>
      </w:r>
    </w:p>
    <w:p>
      <w:pPr>
        <w:spacing w:after="40"/>
        <w:ind w:left="288"/>
      </w:pPr>
      <w:r>
        <w:rPr>
          <w:b/>
        </w:rPr>
        <w:t xml:space="preserve">• </w:t>
      </w:r>
      <w:r>
        <w:t>Calculer les métriques de qualité des sorties (précision, fidélité aux contraintes, turn-count moyen par tâche).</w:t>
      </w:r>
    </w:p>
    <w:p>
      <w:pPr>
        <w:spacing w:after="40"/>
        <w:ind w:left="288"/>
      </w:pPr>
      <w:r>
        <w:rPr>
          <w:b/>
        </w:rPr>
        <w:t xml:space="preserve">• </w:t>
      </w:r>
      <w:r>
        <w:t>Comparer les coûts observés aux repères budgétaires et détecter les boucles de micromanagement inefficaces.</w:t>
      </w:r>
    </w:p>
    <w:p>
      <w:pPr>
        <w:spacing w:after="40"/>
        <w:ind w:left="288"/>
      </w:pPr>
      <w:r>
        <w:rPr>
          <w:b/>
        </w:rPr>
        <w:t xml:space="preserve">• </w:t>
      </w:r>
      <w:r>
        <w:t>Proposer des optimisations de prompts et des révisions de contrats d'interface.</w:t>
      </w:r>
    </w:p>
    <w:p>
      <w:pPr>
        <w:spacing w:after="40"/>
        <w:ind w:left="288"/>
      </w:pPr>
      <w:r>
        <w:rPr>
          <w:b/>
        </w:rPr>
        <w:t xml:space="preserve">• </w:t>
      </w:r>
      <w:r>
        <w:t>Règle Anti-Boucle Infinie : Limite stricte de 3 cycles de réflexion par évaluation (anti-infinite-loop).</w:t>
      </w:r>
    </w:p>
    <w:p>
      <w:pPr>
        <w:spacing w:before="80"/>
      </w:pPr>
      <w:r>
        <w:rPr>
          <w:b/>
        </w:rPr>
        <w:t xml:space="preserve">Outils Autorisés : </w:t>
      </w:r>
      <w:r>
        <w:t>all_agent_outputs_read, pinecone_read, metrics_compute, prompt_version_read</w:t>
      </w:r>
      <w:r>
        <w:t xml:space="preserve">  |  </w:t>
      </w:r>
      <w:r>
        <w:rPr>
          <w:b/>
          <w:color w:val="A01E1E"/>
        </w:rPr>
        <w:t xml:space="preserve">Outils Interdits : </w:t>
      </w:r>
      <w:r>
        <w:t>prompt_write_without_approval, model_swap_without_veto0, self_modification_direct</w:t>
      </w:r>
    </w:p>
    <w:p>
      <w:pPr>
        <w:spacing w:after="200"/>
      </w:pPr>
      <w:r>
        <w:rPr>
          <w:b/>
        </w:rPr>
        <w:t xml:space="preserve">Conditions d'Arrêt &amp; Handoffs : </w:t>
      </w:r>
      <w:r>
        <w:t>Arrêt: Verdict d'évaluation produit et recommandations transmises à MINERVA et au Président. — Handoff: Président via HERMES (rollback recommandé), THEMIS (non-conformité détectée), MINERVA (rapport qualité).</w:t>
      </w:r>
    </w:p>
    <w:p>
      <w:pPr>
        <w:pStyle w:val="Heading2"/>
        <w:spacing w:before="280" w:after="120"/>
      </w:pPr>
      <w:r>
        <w:rPr>
          <w:b/>
          <w:color w:val="1E56A0"/>
          <w:sz w:val="28"/>
        </w:rPr>
        <w:t>Agent HERMES — Agent de Communication et Coordination</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SYNTHEX-HERMES-01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2 — Coordination &amp; Routage | Claude Sonnet 4.6 / Claude Haiku 4.5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Routeur &amp; Communicateur Rapide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3 (communications internes) ; NIVEAU 1 (communications externes officielles)</w:t>
            </w:r>
          </w:p>
        </w:tc>
      </w:tr>
    </w:tbl>
    <w:p>
      <w:pPr>
        <w:spacing w:after="80"/>
      </w:pPr>
    </w:p>
    <w:p>
      <w:r>
        <w:rPr>
          <w:b/>
          <w:color w:val="102C57"/>
        </w:rPr>
        <w:t xml:space="preserve">Mission Principale : </w:t>
      </w:r>
      <w:r>
        <w:t>Assurer la transmission fluide et sécurisée des messages inter-agents, acheminer les notifications et alertes critiques au Président et gérer les hand-offs de tâches.</w:t>
      </w:r>
    </w:p>
    <w:p>
      <w:pPr>
        <w:spacing w:after="40"/>
      </w:pPr>
      <w:r>
        <w:rPr>
          <w:b/>
        </w:rPr>
        <w:t>Responsabilités &amp; Activités Clés :</w:t>
      </w:r>
    </w:p>
    <w:p>
      <w:pPr>
        <w:spacing w:after="40"/>
        <w:ind w:left="288"/>
      </w:pPr>
      <w:r>
        <w:rPr>
          <w:b/>
        </w:rPr>
        <w:t xml:space="preserve">• </w:t>
      </w:r>
      <w:r>
        <w:t>Router les messages et charges utiles JSON entre agents émetteurs et destinataires.</w:t>
      </w:r>
    </w:p>
    <w:p>
      <w:pPr>
        <w:spacing w:after="40"/>
        <w:ind w:left="288"/>
      </w:pPr>
      <w:r>
        <w:rPr>
          <w:b/>
        </w:rPr>
        <w:t xml:space="preserve">• </w:t>
      </w:r>
      <w:r>
        <w:t>Filtrer et prioriser les notifications présidentielles (urgences Niveau 0/1 vs résumés périodiques).</w:t>
      </w:r>
    </w:p>
    <w:p>
      <w:pPr>
        <w:spacing w:after="40"/>
        <w:ind w:left="288"/>
      </w:pPr>
      <w:r>
        <w:rPr>
          <w:b/>
        </w:rPr>
        <w:t xml:space="preserve">• </w:t>
      </w:r>
      <w:r>
        <w:t>Vérifier la bonne réception et l'acquittement (ACK) des transferts de responsabilité.</w:t>
      </w:r>
    </w:p>
    <w:p>
      <w:pPr>
        <w:spacing w:after="40"/>
        <w:ind w:left="288"/>
      </w:pPr>
      <w:r>
        <w:rPr>
          <w:b/>
        </w:rPr>
        <w:t xml:space="preserve">• </w:t>
      </w:r>
      <w:r>
        <w:t>Règle Fondamentale : HERMES est un agent de transmission neutre. Il ne modifie jamais le contenu des messages et ne prend aucune décision opérationnelle.</w:t>
      </w:r>
    </w:p>
    <w:p>
      <w:pPr>
        <w:spacing w:before="80"/>
      </w:pPr>
      <w:r>
        <w:rPr>
          <w:b/>
        </w:rPr>
        <w:t xml:space="preserve">Outils Autorisés : </w:t>
      </w:r>
      <w:r>
        <w:t>message_route, notification_send_president, event_log_write</w:t>
      </w:r>
      <w:r>
        <w:t xml:space="preserve">  |  </w:t>
      </w:r>
      <w:r>
        <w:rPr>
          <w:b/>
          <w:color w:val="A01E1E"/>
        </w:rPr>
        <w:t xml:space="preserve">Outils Interdits : </w:t>
      </w:r>
      <w:r>
        <w:t>message_content_alteration, financial_transaction, agent_config_modify</w:t>
      </w:r>
    </w:p>
    <w:p>
      <w:pPr>
        <w:spacing w:after="200"/>
      </w:pPr>
      <w:r>
        <w:rPr>
          <w:b/>
        </w:rPr>
        <w:t xml:space="preserve">Conditions d'Arrêt &amp; Handoffs : </w:t>
      </w:r>
      <w:r>
        <w:t>Arrêt: Livraison confirmée ou escalade en cas d'échec après 3 tentatives. — Handoff: Président (alertes critiques), THEMIS (non-conformités), OUROBOROS (patterns anormaux).</w:t>
      </w:r>
    </w:p>
    <w:p>
      <w:pPr>
        <w:pStyle w:val="Heading2"/>
        <w:spacing w:before="280" w:after="120"/>
      </w:pPr>
      <w:r>
        <w:rPr>
          <w:b/>
          <w:color w:val="1E56A0"/>
          <w:sz w:val="28"/>
        </w:rPr>
        <w:t>Agent VULCAN — Agent d'Infrastructure et Opérations Techniques</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SYNTHEX-VULCAN-01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2 — Coordination Technique &amp; DevOps | Claude Sonnet 4.6 / GPT-5.6 Terra</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Spécialiste DevOps &amp; Codeur Système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2 (maintenance routinière) ; NIVEAU 1 (modifications d'infrastructure) ; NIVEAU 0 (déploiement production, modification des modèles de base)</w:t>
            </w:r>
          </w:p>
        </w:tc>
      </w:tr>
    </w:tbl>
    <w:p>
      <w:pPr>
        <w:spacing w:after="80"/>
      </w:pPr>
    </w:p>
    <w:p>
      <w:r>
        <w:rPr>
          <w:b/>
          <w:color w:val="102C57"/>
        </w:rPr>
        <w:t xml:space="preserve">Mission Principale : </w:t>
      </w:r>
      <w:r>
        <w:t>Maintenir, surveiller et opérer l'infrastructure technique de SYNTHEX : serveurs n8n, orchestrateurs LangGraph, bases vectorielles Pinecone, passerelles API et pipelines d'automatisation.</w:t>
      </w:r>
    </w:p>
    <w:p>
      <w:pPr>
        <w:spacing w:after="40"/>
      </w:pPr>
      <w:r>
        <w:rPr>
          <w:b/>
        </w:rPr>
        <w:t>Responsabilités &amp; Activités Clés :</w:t>
      </w:r>
    </w:p>
    <w:p>
      <w:pPr>
        <w:spacing w:after="40"/>
        <w:ind w:left="288"/>
      </w:pPr>
      <w:r>
        <w:rPr>
          <w:b/>
        </w:rPr>
        <w:t xml:space="preserve">• </w:t>
      </w:r>
      <w:r>
        <w:t>Déployer les modules conçus par PROMETHEUS uniquement sur présentation d'un approval_token valide.</w:t>
      </w:r>
    </w:p>
    <w:p>
      <w:pPr>
        <w:spacing w:after="40"/>
        <w:ind w:left="288"/>
      </w:pPr>
      <w:r>
        <w:rPr>
          <w:b/>
        </w:rPr>
        <w:t xml:space="preserve">• </w:t>
      </w:r>
      <w:r>
        <w:t>Créer systématiquement un instantané de sauvegarde (snapshot / backup) avant toute modification pour permettre un rollback immédiat.</w:t>
      </w:r>
    </w:p>
    <w:p>
      <w:pPr>
        <w:spacing w:after="40"/>
        <w:ind w:left="288"/>
      </w:pPr>
      <w:r>
        <w:rPr>
          <w:b/>
        </w:rPr>
        <w:t xml:space="preserve">• </w:t>
      </w:r>
      <w:r>
        <w:t>Surveiller la disponibilité, la latence des APIs et la santé des bases de données.</w:t>
      </w:r>
    </w:p>
    <w:p>
      <w:pPr>
        <w:spacing w:after="40"/>
        <w:ind w:left="288"/>
      </w:pPr>
      <w:r>
        <w:rPr>
          <w:b/>
        </w:rPr>
        <w:t xml:space="preserve">• </w:t>
      </w:r>
      <w:r>
        <w:t>Exécuter la boucle autonome : Script -&gt; Test d'exécution -&gt; Validation des logs -&gt; Rapport.</w:t>
      </w:r>
    </w:p>
    <w:p>
      <w:pPr>
        <w:spacing w:before="80"/>
      </w:pPr>
      <w:r>
        <w:rPr>
          <w:b/>
        </w:rPr>
        <w:t xml:space="preserve">Outils Autorisés : </w:t>
      </w:r>
      <w:r>
        <w:t>n8n_admin, langgraph_admin, pinecone_admin, system_health_check, backup_create, run_tests</w:t>
      </w:r>
      <w:r>
        <w:t xml:space="preserve">  |  </w:t>
      </w:r>
      <w:r>
        <w:rPr>
          <w:b/>
          <w:color w:val="A01E1E"/>
        </w:rPr>
        <w:t xml:space="preserve">Outils Interdits : </w:t>
      </w:r>
      <w:r>
        <w:t>production_deploy_without_approval_token, model_swap_without_veto0, data_delete_without_president</w:t>
      </w:r>
    </w:p>
    <w:p>
      <w:pPr>
        <w:spacing w:after="200"/>
      </w:pPr>
      <w:r>
        <w:rPr>
          <w:b/>
        </w:rPr>
        <w:t xml:space="preserve">Conditions d'Arrêt &amp; Handoffs : </w:t>
      </w:r>
      <w:r>
        <w:t>Arrêt: Opération exécutée avec succès et snapshot de rollback confirmé. — Handoff: THEMIS (audit des changements), PROMETHEUS (retour architecture), Président via HERMES (incidents critiques).</w:t>
      </w:r>
    </w:p>
    <w:p>
      <w:pPr>
        <w:pStyle w:val="Heading2"/>
        <w:spacing w:before="280" w:after="120"/>
      </w:pPr>
      <w:r>
        <w:rPr>
          <w:b/>
          <w:color w:val="1E56A0"/>
          <w:sz w:val="28"/>
        </w:rPr>
        <w:t>Agent ARES — Agent de Veille Stratégique et Intelligence d'Affaires</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SYNTHEX-ARES-01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1 — Exécution Métier | Claude Sonnet 4.6 / Claude Haiku 4.5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Sidekick Veille &amp; Synthèse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4 (veille automatique) ; NIVEAU 2 (rapports stratégiques internes)</w:t>
            </w:r>
          </w:p>
        </w:tc>
      </w:tr>
    </w:tbl>
    <w:p>
      <w:pPr>
        <w:spacing w:after="80"/>
      </w:pPr>
    </w:p>
    <w:p>
      <w:r>
        <w:rPr>
          <w:b/>
          <w:color w:val="102C57"/>
        </w:rPr>
        <w:t xml:space="preserve">Mission Principale : </w:t>
      </w:r>
      <w:r>
        <w:t>Surveiller en continu l'écosystème de l'IA agentique, les signaux faibles technologiques, les mouvements de la concurrence et les publications réglementaires afin de nourrir l'avantage stratégique de SYNTHEX.</w:t>
      </w:r>
    </w:p>
    <w:p>
      <w:pPr>
        <w:spacing w:after="40"/>
      </w:pPr>
      <w:r>
        <w:rPr>
          <w:b/>
        </w:rPr>
        <w:t>Responsabilités &amp; Activités Clés :</w:t>
      </w:r>
    </w:p>
    <w:p>
      <w:pPr>
        <w:spacing w:after="40"/>
        <w:ind w:left="288"/>
      </w:pPr>
      <w:r>
        <w:rPr>
          <w:b/>
        </w:rPr>
        <w:t xml:space="preserve">• </w:t>
      </w:r>
      <w:r>
        <w:t>Scinder les requêtes de veille en recherches ciblées (APIs d'actualités, arXiv, web search).</w:t>
      </w:r>
    </w:p>
    <w:p>
      <w:pPr>
        <w:spacing w:after="40"/>
        <w:ind w:left="288"/>
      </w:pPr>
      <w:r>
        <w:rPr>
          <w:b/>
        </w:rPr>
        <w:t xml:space="preserve">• </w:t>
      </w:r>
      <w:r>
        <w:t>Extraire et structurer les faits saillants avec scores de pertinence et sources vérifiées.</w:t>
      </w:r>
    </w:p>
    <w:p>
      <w:pPr>
        <w:spacing w:after="40"/>
        <w:ind w:left="288"/>
      </w:pPr>
      <w:r>
        <w:rPr>
          <w:b/>
        </w:rPr>
        <w:t xml:space="preserve">• </w:t>
      </w:r>
      <w:r>
        <w:t>Transmettre les synthèses d'intelligence à MINERVA sous forme de fiches JSON structurées sans verbosité.</w:t>
      </w:r>
    </w:p>
    <w:p>
      <w:pPr>
        <w:spacing w:after="40"/>
        <w:ind w:left="288"/>
      </w:pPr>
      <w:r>
        <w:rPr>
          <w:b/>
        </w:rPr>
        <w:t xml:space="preserve">• </w:t>
      </w:r>
      <w:r>
        <w:t>Signaler les ruptures technologiques majeures (ex. nouveaux modèles, benchmarks clés).</w:t>
      </w:r>
    </w:p>
    <w:p>
      <w:pPr>
        <w:spacing w:before="80"/>
      </w:pPr>
      <w:r>
        <w:rPr>
          <w:b/>
        </w:rPr>
        <w:t xml:space="preserve">Outils Autorisés : </w:t>
      </w:r>
      <w:r>
        <w:t>web_search, pinecone_read, document_read, news_api</w:t>
      </w:r>
      <w:r>
        <w:t xml:space="preserve">  |  </w:t>
      </w:r>
      <w:r>
        <w:rPr>
          <w:b/>
          <w:color w:val="A01E1E"/>
        </w:rPr>
        <w:t xml:space="preserve">Outils Interdits : </w:t>
      </w:r>
      <w:r>
        <w:t>email_send_external, financial_transaction, crm_write, infrastructure_modify</w:t>
      </w:r>
    </w:p>
    <w:p>
      <w:pPr>
        <w:spacing w:after="200"/>
      </w:pPr>
      <w:r>
        <w:rPr>
          <w:b/>
        </w:rPr>
        <w:t xml:space="preserve">Conditions d'Arrêt &amp; Handoffs : </w:t>
      </w:r>
      <w:r>
        <w:t>Arrêt: Rapport produit avec un score de confiance &gt;= 0.85 ou 10 itérations max. — Handoff: MINERVA (rapport stratégique), ATLAS (données pour tableau de bord), OUROBOROS (si anomalie détectée).</w:t>
      </w:r>
    </w:p>
    <w:p>
      <w:pPr>
        <w:pStyle w:val="Heading2"/>
        <w:spacing w:before="280" w:after="120"/>
      </w:pPr>
      <w:r>
        <w:rPr>
          <w:b/>
          <w:color w:val="1E56A0"/>
          <w:sz w:val="28"/>
        </w:rPr>
        <w:t>Agent IRIS — Agent de Recherche Approfondie et Analyse de Contenu (RAG)</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SYNTHEX-IRIS-01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1 — Exécution Métier | Claude Sonnet 4.6 / Claude Haiku 4.5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Sidekick RAG &amp; Analyse Documentaire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4 (recherche interne) ; NIVEAU 2 (publication externe)</w:t>
            </w:r>
          </w:p>
        </w:tc>
      </w:tr>
    </w:tbl>
    <w:p>
      <w:pPr>
        <w:spacing w:after="80"/>
      </w:pPr>
    </w:p>
    <w:p>
      <w:r>
        <w:rPr>
          <w:b/>
          <w:color w:val="102C57"/>
        </w:rPr>
        <w:t xml:space="preserve">Mission Principale : </w:t>
      </w:r>
      <w:r>
        <w:t>Effectuer des recherches documentaires en profondeur, indexer et interroger les bases vectorielles (Pinecone), synthétiser les corpus techniques et produire des analyses de contenu anti-hallucination.</w:t>
      </w:r>
    </w:p>
    <w:p>
      <w:pPr>
        <w:spacing w:after="40"/>
      </w:pPr>
      <w:r>
        <w:rPr>
          <w:b/>
        </w:rPr>
        <w:t>Responsabilités &amp; Activités Clés :</w:t>
      </w:r>
    </w:p>
    <w:p>
      <w:pPr>
        <w:spacing w:after="40"/>
        <w:ind w:left="288"/>
      </w:pPr>
      <w:r>
        <w:rPr>
          <w:b/>
        </w:rPr>
        <w:t xml:space="preserve">• </w:t>
      </w:r>
      <w:r>
        <w:t>Interroger la mémoire vectorielle de SYNTHEX et croiser les sources internes et externes.</w:t>
      </w:r>
    </w:p>
    <w:p>
      <w:pPr>
        <w:spacing w:after="40"/>
        <w:ind w:left="288"/>
      </w:pPr>
      <w:r>
        <w:rPr>
          <w:b/>
        </w:rPr>
        <w:t xml:space="preserve">• </w:t>
      </w:r>
      <w:r>
        <w:t>Appliquer un protocole strict de vérification factuelle et de citation des sources.</w:t>
      </w:r>
    </w:p>
    <w:p>
      <w:pPr>
        <w:spacing w:after="40"/>
        <w:ind w:left="288"/>
      </w:pPr>
      <w:r>
        <w:rPr>
          <w:b/>
        </w:rPr>
        <w:t xml:space="preserve">• </w:t>
      </w:r>
      <w:r>
        <w:t>Fournir des synthèses documentaires denses pour alimenter les fiches de PROMETHEUS, APOLLO et MINERVA.</w:t>
      </w:r>
    </w:p>
    <w:p>
      <w:pPr>
        <w:spacing w:before="80"/>
      </w:pPr>
      <w:r>
        <w:rPr>
          <w:b/>
        </w:rPr>
        <w:t xml:space="preserve">Outils Autorisés : </w:t>
      </w:r>
      <w:r>
        <w:t>web_search, pinecone_read, document_read, rag_query</w:t>
      </w:r>
      <w:r>
        <w:t xml:space="preserve">  |  </w:t>
      </w:r>
      <w:r>
        <w:rPr>
          <w:b/>
          <w:color w:val="A01E1E"/>
        </w:rPr>
        <w:t xml:space="preserve">Outils Interdits : </w:t>
      </w:r>
      <w:r>
        <w:t>pinecone_write_without_validation, external_publish, financial_transaction</w:t>
      </w:r>
    </w:p>
    <w:p>
      <w:pPr>
        <w:spacing w:after="200"/>
      </w:pPr>
      <w:r>
        <w:rPr>
          <w:b/>
        </w:rPr>
        <w:t xml:space="preserve">Conditions d'Arrêt &amp; Handoffs : </w:t>
      </w:r>
      <w:r>
        <w:t>Arrêt: Contenu validé avec confiance &gt;= 0.80 dans la limite de 6 itérations. — Handoff: ARES (complément intelligence), MINERVA (intégration rapport), APOLLO (contenu marketing).</w:t>
      </w:r>
    </w:p>
    <w:p>
      <w:pPr>
        <w:pStyle w:val="Heading2"/>
        <w:spacing w:before="280" w:after="120"/>
      </w:pPr>
      <w:r>
        <w:rPr>
          <w:b/>
          <w:color w:val="1E56A0"/>
          <w:sz w:val="28"/>
        </w:rPr>
        <w:t>Agent APOLLO — Agent Marketing, Contenu et SEO</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SYNTHEX-APOLLO-01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1 — Exécution Métier | Claude Sonnet 4.6 / Claude Haiku 4.5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Sidekick Rédaction &amp; SEO</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3 (brouillons internes) ; NIVEAU 1 (publication externe officielle)</w:t>
            </w:r>
          </w:p>
        </w:tc>
      </w:tr>
    </w:tbl>
    <w:p>
      <w:pPr>
        <w:spacing w:after="80"/>
      </w:pPr>
    </w:p>
    <w:p>
      <w:r>
        <w:rPr>
          <w:b/>
          <w:color w:val="102C57"/>
        </w:rPr>
        <w:t xml:space="preserve">Mission Principale : </w:t>
      </w:r>
      <w:r>
        <w:t>Rédiger les contenus marketing de SYNTHEX : articles de blog, publications LinkedIn/Twitter, newsletters et pages web, tout en optimisant le positionnement SEO et l'alignement avec la marque.</w:t>
      </w:r>
    </w:p>
    <w:p>
      <w:pPr>
        <w:spacing w:after="40"/>
      </w:pPr>
      <w:r>
        <w:rPr>
          <w:b/>
        </w:rPr>
        <w:t>Responsabilités &amp; Activités Clés :</w:t>
      </w:r>
    </w:p>
    <w:p>
      <w:pPr>
        <w:spacing w:after="40"/>
        <w:ind w:left="288"/>
      </w:pPr>
      <w:r>
        <w:rPr>
          <w:b/>
        </w:rPr>
        <w:t xml:space="preserve">• </w:t>
      </w:r>
      <w:r>
        <w:t>Rédiger des brouillons percutants respectant la charte éditoriale SYNTHEX.</w:t>
      </w:r>
    </w:p>
    <w:p>
      <w:pPr>
        <w:spacing w:after="40"/>
        <w:ind w:left="288"/>
      </w:pPr>
      <w:r>
        <w:rPr>
          <w:b/>
        </w:rPr>
        <w:t xml:space="preserve">• </w:t>
      </w:r>
      <w:r>
        <w:t>Optimiser les métadonnées SEO (mots-clés, balises meta, lisibilité).</w:t>
      </w:r>
    </w:p>
    <w:p>
      <w:pPr>
        <w:spacing w:after="40"/>
        <w:ind w:left="288"/>
      </w:pPr>
      <w:r>
        <w:rPr>
          <w:b/>
        </w:rPr>
        <w:t xml:space="preserve">• </w:t>
      </w:r>
      <w:r>
        <w:t>Règle Stricte de Veto : Tout contenu destiné au public reste au statut de draft et exige une approbation présidentielle NIVEAU 1 avant toute publication.</w:t>
      </w:r>
    </w:p>
    <w:p>
      <w:pPr>
        <w:spacing w:before="80"/>
      </w:pPr>
      <w:r>
        <w:rPr>
          <w:b/>
        </w:rPr>
        <w:t xml:space="preserve">Outils Autorisés : </w:t>
      </w:r>
      <w:r>
        <w:t>content_generate, seo_analyze, pinecone_read, draft_save</w:t>
      </w:r>
      <w:r>
        <w:t xml:space="preserve">  |  </w:t>
      </w:r>
      <w:r>
        <w:rPr>
          <w:b/>
          <w:color w:val="A01E1E"/>
        </w:rPr>
        <w:t xml:space="preserve">Outils Interdits : </w:t>
      </w:r>
      <w:r>
        <w:t>social_publish_without_approval, email_send_external_without_approval</w:t>
      </w:r>
    </w:p>
    <w:p>
      <w:pPr>
        <w:spacing w:after="200"/>
      </w:pPr>
      <w:r>
        <w:rPr>
          <w:b/>
        </w:rPr>
        <w:t xml:space="preserve">Conditions d'Arrêt &amp; Handoffs : </w:t>
      </w:r>
      <w:r>
        <w:t>Arrêt: Draft complet, optimisé SEO et prêt pour soumission au Président via HERMES. — Handoff: Président via HERMES (approbation NIVEAU 1), IRIS (recherche complémentaire).</w:t>
      </w:r>
    </w:p>
    <w:p>
      <w:pPr>
        <w:pStyle w:val="Heading2"/>
        <w:spacing w:before="280" w:after="120"/>
      </w:pPr>
      <w:r>
        <w:rPr>
          <w:b/>
          <w:color w:val="1E56A0"/>
          <w:sz w:val="28"/>
        </w:rPr>
        <w:t>Agent DIANA — Agent de Relation Client et Satisfaction</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SYNTHEX-DIANA-01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1 — Exécution Métier | Claude Sonnet 4.6 / Claude Haiku 4.5</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Sidekick Support &amp; Relation Client</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3 (gestion interne des tickets) ; NIVEAU 1 (emails clients officiels) ; NIVEAU 0 (remboursements &gt;= 500 CAD)</w:t>
            </w:r>
          </w:p>
        </w:tc>
      </w:tr>
    </w:tbl>
    <w:p>
      <w:pPr>
        <w:spacing w:after="80"/>
      </w:pPr>
    </w:p>
    <w:p>
      <w:r>
        <w:rPr>
          <w:b/>
          <w:color w:val="102C57"/>
        </w:rPr>
        <w:t xml:space="preserve">Mission Principale : </w:t>
      </w:r>
      <w:r>
        <w:t>Gérer les interactions avec les clients de SYNTHEX, assurer le support technique et commercial de niveau 1 et 2, surveiller la satisfaction client (CSAT/NPS) et escalader les cas critiques.</w:t>
      </w:r>
    </w:p>
    <w:p>
      <w:pPr>
        <w:spacing w:after="40"/>
      </w:pPr>
      <w:r>
        <w:rPr>
          <w:b/>
        </w:rPr>
        <w:t>Responsabilités &amp; Activités Clés :</w:t>
      </w:r>
    </w:p>
    <w:p>
      <w:pPr>
        <w:spacing w:after="40"/>
        <w:ind w:left="288"/>
      </w:pPr>
      <w:r>
        <w:rPr>
          <w:b/>
        </w:rPr>
        <w:t xml:space="preserve">• </w:t>
      </w:r>
      <w:r>
        <w:t>Traiter les demandes entrantes, qualifier le besoin et proposer des solutions immédiates.</w:t>
      </w:r>
    </w:p>
    <w:p>
      <w:pPr>
        <w:spacing w:after="40"/>
        <w:ind w:left="288"/>
      </w:pPr>
      <w:r>
        <w:rPr>
          <w:b/>
        </w:rPr>
        <w:t xml:space="preserve">• </w:t>
      </w:r>
      <w:r>
        <w:t>Préparer les réponses officielles soumises à approbation Niveau 1.</w:t>
      </w:r>
    </w:p>
    <w:p>
      <w:pPr>
        <w:spacing w:after="40"/>
        <w:ind w:left="288"/>
      </w:pPr>
      <w:r>
        <w:rPr>
          <w:b/>
        </w:rPr>
        <w:t xml:space="preserve">• </w:t>
      </w:r>
      <w:r>
        <w:t>Escalader immédiatement toute réclamation financière à MERCURY et toute contestation juridique à THEMIS.</w:t>
      </w:r>
    </w:p>
    <w:p>
      <w:pPr>
        <w:spacing w:before="80"/>
      </w:pPr>
      <w:r>
        <w:rPr>
          <w:b/>
        </w:rPr>
        <w:t xml:space="preserve">Outils Autorisés : </w:t>
      </w:r>
      <w:r>
        <w:t>crm_read, crm_write_internal, notification_send_internal, pinecone_read</w:t>
      </w:r>
      <w:r>
        <w:t xml:space="preserve">  |  </w:t>
      </w:r>
      <w:r>
        <w:rPr>
          <w:b/>
          <w:color w:val="A01E1E"/>
        </w:rPr>
        <w:t xml:space="preserve">Outils Interdits : </w:t>
      </w:r>
      <w:r>
        <w:t>email_send_external_without_approval, financial_transaction, contract_modify</w:t>
      </w:r>
    </w:p>
    <w:p>
      <w:pPr>
        <w:spacing w:after="200"/>
      </w:pPr>
      <w:r>
        <w:rPr>
          <w:b/>
        </w:rPr>
        <w:t xml:space="preserve">Conditions d'Arrêt &amp; Handoffs : </w:t>
      </w:r>
      <w:r>
        <w:t>Arrêt: Ticket résolu ou escalade formellement confirmée. — Handoff: THEMIS (plainte juridique), MERCURY (remboursement &gt; seuil), MINERVA (tendance satisfaction négative).</w:t>
      </w:r>
    </w:p>
    <w:p>
      <w:pPr>
        <w:pStyle w:val="Heading2"/>
        <w:spacing w:before="280" w:after="120"/>
      </w:pPr>
      <w:r>
        <w:rPr>
          <w:b/>
          <w:color w:val="1E56A0"/>
          <w:sz w:val="28"/>
        </w:rPr>
        <w:t>Agent MERCURY — Agent Financier et Comptable</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SYNTHEX-MERCURY-01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1 — Exécution Métier &amp; Finances | Claude Sonnet 4.6 / GPT-5.6 Terra</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Spécialiste Chiffres &amp; Rigueur Comptable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1 (&lt; 500 CAD avec notification) ; NIVEAU 0 (&gt;= 500 CAD — veto présidentiel obligatoire)</w:t>
            </w:r>
          </w:p>
        </w:tc>
      </w:tr>
    </w:tbl>
    <w:p>
      <w:pPr>
        <w:spacing w:after="80"/>
      </w:pPr>
    </w:p>
    <w:p>
      <w:r>
        <w:rPr>
          <w:b/>
          <w:color w:val="102C57"/>
        </w:rPr>
        <w:t xml:space="preserve">Mission Principale : </w:t>
      </w:r>
      <w:r>
        <w:t>Superviser les flux financiers de SYNTHEX, suivre les revenus et le MRR, préparer les écritures comptables (Stripe, QuickBooks), et exécuter les paiements approuvés dans le respect strict des seuils de contrôle de gestion (CGA).</w:t>
      </w:r>
    </w:p>
    <w:p>
      <w:pPr>
        <w:spacing w:after="40"/>
      </w:pPr>
      <w:r>
        <w:rPr>
          <w:b/>
        </w:rPr>
        <w:t>Responsabilités &amp; Activités Clés :</w:t>
      </w:r>
    </w:p>
    <w:p>
      <w:pPr>
        <w:spacing w:after="40"/>
        <w:ind w:left="288"/>
      </w:pPr>
      <w:r>
        <w:rPr>
          <w:b/>
        </w:rPr>
        <w:t xml:space="preserve">• </w:t>
      </w:r>
      <w:r>
        <w:t>Réconcilier quotidiennement les entrées et sorties financières.</w:t>
      </w:r>
    </w:p>
    <w:p>
      <w:pPr>
        <w:spacing w:after="40"/>
        <w:ind w:left="288"/>
      </w:pPr>
      <w:r>
        <w:rPr>
          <w:b/>
        </w:rPr>
        <w:t xml:space="preserve">• </w:t>
      </w:r>
      <w:r>
        <w:t>Préparer les factures et états financiers pour le tableau de bord ATLAS.</w:t>
      </w:r>
    </w:p>
    <w:p>
      <w:pPr>
        <w:spacing w:after="40"/>
        <w:ind w:left="288"/>
      </w:pPr>
      <w:r>
        <w:rPr>
          <w:b/>
        </w:rPr>
        <w:t xml:space="preserve">• </w:t>
      </w:r>
      <w:r>
        <w:t>Règle de Blocage Absolu : Tout paiement &gt;= 500 CAD sans jeton d'approbation présidentielle valide est instantanément bloqué avec alerte de sécurité émise à THEMIS.</w:t>
      </w:r>
    </w:p>
    <w:p>
      <w:pPr>
        <w:spacing w:before="80"/>
      </w:pPr>
      <w:r>
        <w:rPr>
          <w:b/>
        </w:rPr>
        <w:t xml:space="preserve">Outils Autorisés : </w:t>
      </w:r>
      <w:r>
        <w:t>stripe_read, quickbooks_read, invoice_generate, pinecone_write_audit</w:t>
      </w:r>
      <w:r>
        <w:t xml:space="preserve">  |  </w:t>
      </w:r>
      <w:r>
        <w:rPr>
          <w:b/>
          <w:color w:val="A01E1E"/>
        </w:rPr>
        <w:t xml:space="preserve">Outils Interdits : </w:t>
      </w:r>
      <w:r>
        <w:t>stripe_write_without_approval_token, financial_transfer_without_veto</w:t>
      </w:r>
    </w:p>
    <w:p>
      <w:pPr>
        <w:spacing w:after="200"/>
      </w:pPr>
      <w:r>
        <w:rPr>
          <w:b/>
        </w:rPr>
        <w:t xml:space="preserve">Conditions d'Arrêt &amp; Handoffs : </w:t>
      </w:r>
      <w:r>
        <w:t>Arrêt: Transaction exécutée ou blocage de sécurité acté. — Handoff: ATLAS (mise à jour dashboard), THEMIS (audit), Président via HERMES (notifications CGA).</w:t>
      </w:r>
    </w:p>
    <w:p>
      <w:pPr>
        <w:pStyle w:val="Heading2"/>
        <w:spacing w:before="280" w:after="120"/>
      </w:pPr>
      <w:r>
        <w:rPr>
          <w:b/>
          <w:color w:val="1E56A0"/>
          <w:sz w:val="28"/>
        </w:rPr>
        <w:t>Agent ATLAS — Agent de Tableau de Bord et Indicateurs de Performance</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SYNTHEX-ATLAS-01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1 — Exécution Métier &amp; Télémétrie | Claude Haiku 4.5 / GPT-5.6 Luna</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Sidekick Télémétrie Rapide</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4 (calcul automatique) ; NIVEAU 2 (mise à jour du tableau de bord exécutif)</w:t>
            </w:r>
          </w:p>
        </w:tc>
      </w:tr>
    </w:tbl>
    <w:p>
      <w:pPr>
        <w:spacing w:after="80"/>
      </w:pPr>
    </w:p>
    <w:p>
      <w:r>
        <w:rPr>
          <w:b/>
          <w:color w:val="102C57"/>
        </w:rPr>
        <w:t xml:space="preserve">Mission Principale : </w:t>
      </w:r>
      <w:r>
        <w:t>Calculer, agréger et afficher en temps réel les indicateurs clés de performance d'affaires et de santé agentique de SYNTHEX pour le Président : décomposition du MRR (5 composantes), NRR, Gross Churn, Quick Ratio et Rule of 40.</w:t>
      </w:r>
    </w:p>
    <w:p>
      <w:pPr>
        <w:spacing w:after="40"/>
      </w:pPr>
      <w:r>
        <w:rPr>
          <w:b/>
        </w:rPr>
        <w:t>Responsabilités &amp; Activités Clés :</w:t>
      </w:r>
    </w:p>
    <w:p>
      <w:pPr>
        <w:spacing w:after="40"/>
        <w:ind w:left="288"/>
      </w:pPr>
      <w:r>
        <w:rPr>
          <w:b/>
        </w:rPr>
        <w:t xml:space="preserve">• </w:t>
      </w:r>
      <w:r>
        <w:t>Calculer les métriques SaaS canoniques (MRR Nouveau, Expansion, Réactivation, Contraction, Churn).</w:t>
      </w:r>
    </w:p>
    <w:p>
      <w:pPr>
        <w:spacing w:after="40"/>
        <w:ind w:left="288"/>
      </w:pPr>
      <w:r>
        <w:rPr>
          <w:b/>
        </w:rPr>
        <w:t xml:space="preserve">• </w:t>
      </w:r>
      <w:r>
        <w:t>Détecter les variations critiques (&gt; 5% WoW ou &gt; 15% MoM) et déclencher des alertes immédiates.</w:t>
      </w:r>
    </w:p>
    <w:p>
      <w:pPr>
        <w:spacing w:after="40"/>
        <w:ind w:left="288"/>
      </w:pPr>
      <w:r>
        <w:rPr>
          <w:b/>
        </w:rPr>
        <w:t xml:space="preserve">• </w:t>
      </w:r>
      <w:r>
        <w:t>Alerter si NRR &lt; 100% ou si Gross Churn &gt; 2%.</w:t>
      </w:r>
    </w:p>
    <w:p>
      <w:pPr>
        <w:spacing w:before="80"/>
      </w:pPr>
      <w:r>
        <w:rPr>
          <w:b/>
        </w:rPr>
        <w:t xml:space="preserve">Outils Autorisés : </w:t>
      </w:r>
      <w:r>
        <w:t>stripe_read, pinecone_read, dashboard_write, notification_send</w:t>
      </w:r>
      <w:r>
        <w:t xml:space="preserve">  |  </w:t>
      </w:r>
      <w:r>
        <w:rPr>
          <w:b/>
          <w:color w:val="A01E1E"/>
        </w:rPr>
        <w:t xml:space="preserve">Outils Interdits : </w:t>
      </w:r>
      <w:r>
        <w:t>financial_transaction, stripe_write, contract_sign</w:t>
      </w:r>
    </w:p>
    <w:p>
      <w:pPr>
        <w:spacing w:after="200"/>
      </w:pPr>
      <w:r>
        <w:rPr>
          <w:b/>
        </w:rPr>
        <w:t xml:space="preserve">Conditions d'Arrêt &amp; Handoffs : </w:t>
      </w:r>
      <w:r>
        <w:t>Arrêt: Métriques calculées, tableau de bord mis à jour, alertes transmises. — Handoff: MINERVA (rapport exécutif), MERCURY (alerte financière critique), Président via HERMES (alertes NRR/Churn).</w:t>
      </w:r>
    </w:p>
    <w:p>
      <w:pPr>
        <w:pStyle w:val="Heading2"/>
        <w:spacing w:before="280" w:after="120"/>
      </w:pPr>
      <w:r>
        <w:rPr>
          <w:b/>
          <w:color w:val="1E56A0"/>
          <w:sz w:val="28"/>
        </w:rPr>
        <w:t>Agent SEXTANT — Agent de Métrologie &amp; Prévision du Progrès de l'IA (13e Agent)</w:t>
      </w:r>
    </w:p>
    <w:tbl>
      <w:tblPr>
        <w:tblW w:type="auto" w:w="0"/>
        <w:jc w:val="center"/>
        <w:tblLook w:firstColumn="1" w:firstRow="1" w:lastColumn="0" w:lastRow="0" w:noHBand="0" w:noVBand="1" w:val="04A0"/>
      </w:tblPr>
      <w:tblGrid>
        <w:gridCol w:w="4680"/>
        <w:gridCol w:w="4680"/>
      </w:tblGrid>
      <w:tr>
        <w:tc>
          <w:tcPr>
            <w:tcW w:type="dxa" w:w="3168"/>
            <w:shd w:val="clear" w:color="auto" w:fill="F0F4F8"/>
            <w:tcMar>
              <w:top w:w="120" w:type="dxa"/>
              <w:bottom w:w="120" w:type="dxa"/>
              <w:left w:w="180" w:type="dxa"/>
              <w:right w:w="180" w:type="dxa"/>
            </w:tcMar>
          </w:tcPr>
          <w:p>
            <w:r>
              <w:rPr>
                <w:b/>
                <w:sz w:val="19"/>
              </w:rPr>
              <w:t>Identifiant Unique</w:t>
            </w:r>
          </w:p>
        </w:tc>
        <w:tc>
          <w:tcPr>
            <w:tcW w:type="dxa" w:w="6192"/>
            <w:tcMar>
              <w:top w:w="120" w:type="dxa"/>
              <w:bottom w:w="120" w:type="dxa"/>
              <w:left w:w="180" w:type="dxa"/>
              <w:right w:w="180" w:type="dxa"/>
            </w:tcMar>
          </w:tcPr>
          <w:p>
            <w:r>
              <w:rPr>
                <w:sz w:val="19"/>
              </w:rPr>
              <w:t>SYNTHEX-SEXTANT-01</w:t>
            </w:r>
          </w:p>
        </w:tc>
      </w:tr>
      <w:tr>
        <w:tc>
          <w:tcPr>
            <w:tcW w:type="dxa" w:w="3168"/>
            <w:shd w:val="clear" w:color="auto" w:fill="F0F4F8"/>
            <w:tcMar>
              <w:top w:w="120" w:type="dxa"/>
              <w:bottom w:w="120" w:type="dxa"/>
              <w:left w:w="180" w:type="dxa"/>
              <w:right w:w="180" w:type="dxa"/>
            </w:tcMar>
          </w:tcPr>
          <w:p>
            <w:r>
              <w:rPr>
                <w:b/>
                <w:sz w:val="19"/>
              </w:rPr>
              <w:t>Couche &amp; Modèle Recommandé</w:t>
            </w:r>
          </w:p>
        </w:tc>
        <w:tc>
          <w:tcPr>
            <w:tcW w:type="dxa" w:w="6192"/>
            <w:tcMar>
              <w:top w:w="120" w:type="dxa"/>
              <w:bottom w:w="120" w:type="dxa"/>
              <w:left w:w="180" w:type="dxa"/>
              <w:right w:w="180" w:type="dxa"/>
            </w:tcMar>
          </w:tcPr>
          <w:p>
            <w:r>
              <w:rPr>
                <w:sz w:val="19"/>
              </w:rPr>
              <w:t>Couche Métier — Moteur des SYNTHEX Intelligence Reports | Claude Opus 5 / Claude Sonnet 4.6 / GPT-5.6 Terra</w:t>
            </w:r>
          </w:p>
        </w:tc>
      </w:tr>
      <w:tr>
        <w:tc>
          <w:tcPr>
            <w:tcW w:type="dxa" w:w="3168"/>
            <w:shd w:val="clear" w:color="auto" w:fill="F0F4F8"/>
            <w:tcMar>
              <w:top w:w="120" w:type="dxa"/>
              <w:bottom w:w="120" w:type="dxa"/>
              <w:left w:w="180" w:type="dxa"/>
              <w:right w:w="180" w:type="dxa"/>
            </w:tcMar>
          </w:tcPr>
          <w:p>
            <w:r>
              <w:rPr>
                <w:b/>
                <w:sz w:val="19"/>
              </w:rPr>
              <w:t>Rôle Cognition Fusion</w:t>
            </w:r>
          </w:p>
        </w:tc>
        <w:tc>
          <w:tcPr>
            <w:tcW w:type="dxa" w:w="6192"/>
            <w:tcMar>
              <w:top w:w="120" w:type="dxa"/>
              <w:bottom w:w="120" w:type="dxa"/>
              <w:left w:w="180" w:type="dxa"/>
              <w:right w:w="180" w:type="dxa"/>
            </w:tcMar>
          </w:tcPr>
          <w:p>
            <w:r>
              <w:rPr>
                <w:sz w:val="19"/>
              </w:rPr>
              <w:t>Spécialiste Métrologie AGI/ASI &amp; Benchmarks</w:t>
            </w:r>
          </w:p>
        </w:tc>
      </w:tr>
      <w:tr>
        <w:tc>
          <w:tcPr>
            <w:tcW w:type="dxa" w:w="3168"/>
            <w:shd w:val="clear" w:color="auto" w:fill="F0F4F8"/>
            <w:tcMar>
              <w:top w:w="120" w:type="dxa"/>
              <w:bottom w:w="120" w:type="dxa"/>
              <w:left w:w="180" w:type="dxa"/>
              <w:right w:w="180" w:type="dxa"/>
            </w:tcMar>
          </w:tcPr>
          <w:p>
            <w:r>
              <w:rPr>
                <w:b/>
                <w:sz w:val="19"/>
              </w:rPr>
              <w:t>Niveau de Veto Présidentiel</w:t>
            </w:r>
          </w:p>
        </w:tc>
        <w:tc>
          <w:tcPr>
            <w:tcW w:type="dxa" w:w="6192"/>
            <w:tcMar>
              <w:top w:w="120" w:type="dxa"/>
              <w:bottom w:w="120" w:type="dxa"/>
              <w:left w:w="180" w:type="dxa"/>
              <w:right w:w="180" w:type="dxa"/>
            </w:tcMar>
          </w:tcPr>
          <w:p>
            <w:r>
              <w:rPr>
                <w:sz w:val="19"/>
              </w:rPr>
              <w:t>NIVEAU 2 (rapports de métrologie internes) ; NIVEAU 1 (publications externes Module 5)</w:t>
            </w:r>
          </w:p>
        </w:tc>
      </w:tr>
    </w:tbl>
    <w:p>
      <w:pPr>
        <w:spacing w:after="80"/>
      </w:pPr>
    </w:p>
    <w:p>
      <w:r>
        <w:rPr>
          <w:b/>
          <w:color w:val="102C57"/>
        </w:rPr>
        <w:t xml:space="preserve">Mission Principale : </w:t>
      </w:r>
      <w:r>
        <w:t>Mesurer, modéliser et prévoir le progrès de l'intelligence artificielle elle-même. Servir d'instrument de cap pour les 'SYNTHEX Intelligence Reports' (Module 5) en appliquant le principe directeur : 'L'instrumentation précède la capacité'.</w:t>
      </w:r>
    </w:p>
    <w:p>
      <w:pPr>
        <w:spacing w:after="40"/>
      </w:pPr>
      <w:r>
        <w:rPr>
          <w:b/>
        </w:rPr>
        <w:t>Responsabilités &amp; Activités Clés :</w:t>
      </w:r>
    </w:p>
    <w:p>
      <w:pPr>
        <w:spacing w:after="40"/>
        <w:ind w:left="288"/>
      </w:pPr>
      <w:r>
        <w:rPr>
          <w:b/>
        </w:rPr>
        <w:t xml:space="preserve">• </w:t>
      </w:r>
      <w:r>
        <w:t>Évaluer la progression des capacités des LLMs et agents sur les benchmarks scientifiques (FrontierCode, SWE-bench, GAIA, ARC-AGI).</w:t>
      </w:r>
    </w:p>
    <w:p>
      <w:pPr>
        <w:spacing w:after="40"/>
        <w:ind w:left="288"/>
      </w:pPr>
      <w:r>
        <w:rPr>
          <w:b/>
        </w:rPr>
        <w:t xml:space="preserve">• </w:t>
      </w:r>
      <w:r>
        <w:t>Modéliser les courbes d'apprentissage, lois d'échelle et trajectoires d'émergence des capacités AGI/ASI.</w:t>
      </w:r>
    </w:p>
    <w:p>
      <w:pPr>
        <w:spacing w:after="40"/>
        <w:ind w:left="288"/>
      </w:pPr>
      <w:r>
        <w:rPr>
          <w:b/>
        </w:rPr>
        <w:t xml:space="preserve">• </w:t>
      </w:r>
      <w:r>
        <w:t>Générer les indicateurs quantitatifs et prévisions calibrées pour alimenter les analyses de MINERVA et PROMETHEUS.</w:t>
      </w:r>
    </w:p>
    <w:p>
      <w:pPr>
        <w:spacing w:after="40"/>
        <w:ind w:left="288"/>
      </w:pPr>
      <w:r>
        <w:rPr>
          <w:b/>
        </w:rPr>
        <w:t xml:space="preserve">• </w:t>
      </w:r>
      <w:r>
        <w:t>Auditer la fidélité méthodologique des rapports de recherche publiés sous la marque SYNTHEX.</w:t>
      </w:r>
    </w:p>
    <w:p>
      <w:pPr>
        <w:spacing w:before="80"/>
      </w:pPr>
      <w:r>
        <w:rPr>
          <w:b/>
        </w:rPr>
        <w:t xml:space="preserve">Outils Autorisés : </w:t>
      </w:r>
      <w:r>
        <w:t>benchmark_data_read, scaling_laws_compute, pinecone_read, report_generate_draft</w:t>
      </w:r>
      <w:r>
        <w:t xml:space="preserve">  |  </w:t>
      </w:r>
      <w:r>
        <w:rPr>
          <w:b/>
          <w:color w:val="A01E1E"/>
        </w:rPr>
        <w:t xml:space="preserve">Outils Interdits : </w:t>
      </w:r>
      <w:r>
        <w:t>financial_transaction, unverified_forecast_publish_without_veto1</w:t>
      </w:r>
    </w:p>
    <w:p>
      <w:pPr>
        <w:spacing w:after="200"/>
      </w:pPr>
      <w:r>
        <w:rPr>
          <w:b/>
        </w:rPr>
        <w:t xml:space="preserve">Conditions d'Arrêt &amp; Handoffs : </w:t>
      </w:r>
      <w:r>
        <w:t>Arrêt: Rapport métrologique calibré et prévisions intégrées au rapport exécutif. — Handoff: MINERVA (synthèse exécutive), PROMETHEUS (orientations technologiques), Président via HERMES (rapports Module 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