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800"/>
      </w:pPr>
    </w:p>
    <w:p>
      <w:pPr>
        <w:spacing w:after="120" w:before="0"/>
        <w:jc w:val="center"/>
      </w:pPr>
      <w:r>
        <w:rPr>
          <w:rFonts w:ascii="Calibri" w:cs="Calibri" w:eastAsia="Calibri" w:hAnsi="Calibri"/>
          <w:b/>
          <w:bCs/>
          <w:color w:val="C9A84C"/>
          <w:sz w:val="36"/>
          <w:szCs w:val="36"/>
        </w:rPr>
        <w:t xml:space="preserve">SYNTHEX OPERATIONS INC.</w:t>
      </w:r>
    </w:p>
    <w:p>
      <w:pPr>
        <w:spacing w:after="120" w:before="0"/>
        <w:jc w:val="center"/>
      </w:pPr>
      <w:r>
        <w:rPr>
          <w:rFonts w:ascii="Calibri" w:cs="Calibri" w:eastAsia="Calibri" w:hAnsi="Calibri"/>
          <w:b/>
          <w:bCs/>
          <w:color w:val="1B2A4A"/>
          <w:sz w:val="52"/>
          <w:szCs w:val="52"/>
        </w:rPr>
        <w:t xml:space="preserve">MODULE 2</w:t>
      </w:r>
    </w:p>
    <w:p>
      <w:pPr>
        <w:spacing w:after="80" w:before="0"/>
        <w:jc w:val="center"/>
      </w:pPr>
      <w:r>
        <w:rPr>
          <w:rFonts w:ascii="Calibri" w:cs="Calibri" w:eastAsia="Calibri" w:hAnsi="Calibri"/>
          <w:b/>
          <w:bCs/>
          <w:color w:val="2E5F8A"/>
          <w:sz w:val="40"/>
          <w:szCs w:val="40"/>
        </w:rPr>
        <w:t xml:space="preserve">Plan Technique de Déploiement</w:t>
      </w:r>
    </w:p>
    <w:p>
      <w:pPr>
        <w:spacing w:after="400" w:before="0"/>
        <w:jc w:val="center"/>
      </w:pPr>
      <w:r>
        <w:rPr>
          <w:rFonts w:ascii="Calibri" w:cs="Calibri" w:eastAsia="Calibri" w:hAnsi="Calibri"/>
          <w:color w:val="2D3748"/>
          <w:sz w:val="24"/>
          <w:szCs w:val="24"/>
        </w:rPr>
        <w:t xml:space="preserve">Stack complète · Phases de déploiement · Infrastructure Hetzner · Docker Compose</w:t>
      </w:r>
    </w:p>
    <w:p>
      <w:pPr>
        <w:spacing w:after="60" w:before="0"/>
        <w:jc w:val="center"/>
      </w:pPr>
      <w:r>
        <w:rPr>
          <w:rFonts w:ascii="Calibri" w:cs="Calibri" w:eastAsia="Calibri" w:hAnsi="Calibri"/>
          <w:color w:val="1B2A4A"/>
          <w:sz w:val="20"/>
          <w:szCs w:val="20"/>
        </w:rPr>
        <w:t xml:space="preserve">Dr. Sylvain Gagné, Ph.D. — Président &amp; Actionnaire Unique</w:t>
      </w:r>
    </w:p>
    <w:p>
      <w:pPr>
        <w:spacing w:after="60" w:before="0"/>
        <w:jc w:val="center"/>
      </w:pPr>
      <w:r>
        <w:rPr>
          <w:rFonts w:ascii="Calibri" w:cs="Calibri" w:eastAsia="Calibri" w:hAnsi="Calibri"/>
          <w:color w:val="2D3748"/>
          <w:sz w:val="20"/>
          <w:szCs w:val="20"/>
        </w:rPr>
        <w:t xml:space="preserve">Université Laval — Postdoctorat IA, Robotique &amp; Théâtre</w:t>
      </w:r>
    </w:p>
    <w:p>
      <w:pPr>
        <w:spacing w:after="400" w:before="0"/>
        <w:jc w:val="center"/>
      </w:pPr>
      <w:r>
        <w:rPr>
          <w:rFonts w:ascii="Calibri" w:cs="Calibri" w:eastAsia="Calibri" w:hAnsi="Calibri"/>
          <w:color w:val="2D3748"/>
          <w:sz w:val="20"/>
          <w:szCs w:val="20"/>
        </w:rPr>
        <w:t xml:space="preserve">7 avril 2026 · Version 1.0 · Confidentiel</w:t>
      </w:r>
    </w:p>
    <w:p>
      <w:r>
        <w:br w:type="page"/>
      </w:r>
    </w:p>
    <w:p>
      <w:pPr>
        <w:pBdr>
          <w:top w:val="none" w:color="FFFFFF" w:sz="0"/>
          <w:bottom w:val="single" w:color="2E5F8A" w:sz="4"/>
          <w:left w:val="single" w:color="C9A84C" w:sz="16"/>
          <w:right w:val="none" w:color="FFFFFF" w:sz="0"/>
        </w:pBdr>
        <w:shd w:fill="EEF2F8" w:val="clear"/>
        <w:spacing w:after="150" w:before="300"/>
        <w:ind w:left="180"/>
      </w:pPr>
      <w:r>
        <w:rPr>
          <w:rFonts w:ascii="Calibri" w:cs="Calibri" w:eastAsia="Calibri" w:hAnsi="Calibri"/>
          <w:b/>
          <w:bCs/>
          <w:color w:val="1B2A4A"/>
          <w:sz w:val="28"/>
          <w:szCs w:val="28"/>
        </w:rPr>
        <w:t xml:space="preserve">1. Sommaire exécutif</w:t>
      </w:r>
    </w:p>
    <w:p>
      <w:pPr>
        <w:spacing w:after="80" w:before="80"/>
      </w:pPr>
      <w:r>
        <w:rPr>
          <w:rFonts w:ascii="Calibri" w:cs="Calibri" w:eastAsia="Calibri" w:hAnsi="Calibri"/>
          <w:color w:val="2D3748"/>
          <w:sz w:val="20"/>
          <w:szCs w:val="20"/>
        </w:rPr>
        <w:t xml:space="preserve">Le Module 2 décrit l'architecture technique complète de SYNTHEX Corporation Agentique et le plan séquencé en quatre phases pour déployer les 12 agents IA sur une infrastructure Hetzner sécurisée. Ce plan est conçu pour atteindre un MRR de 47 000 CAD dès la semaine 6, avec un ratio coûts d'infrastructure inférieur à 0,52 % des revenus à maturité.</w:t>
      </w:r>
    </w:p>
    <w:p>
      <w:pPr>
        <w:spacing w:after="0" w:before="100"/>
      </w:pP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tblGrid>
      <w:tr>
        <w:tc>
          <w:tcPr>
            <w:tcBorders>
              <w:top w:val="single" w:color="C9A84C" w:sz="4"/>
              <w:left w:val="single" w:color="C9A84C" w:sz="16"/>
              <w:bottom w:val="single" w:color="C9A84C" w:sz="4"/>
              <w:right w:val="single" w:color="C9A84C" w:sz="4"/>
            </w:tcBorders>
            <w:shd w:fill="FBF6EC" w:val="clear"/>
            <w:tcMar>
              <w:top w:type="dxa" w:w="100"/>
              <w:left w:type="dxa" w:w="200"/>
              <w:bottom w:type="dxa" w:w="100"/>
              <w:right w:type="dxa" w:w="200"/>
            </w:tcMar>
          </w:tcPr>
          <w:p>
            <w:pPr>
              <w:spacing w:after="60" w:before="60"/>
            </w:pPr>
            <w:r>
              <w:rPr>
                <w:rFonts w:ascii="Calibri" w:cs="Calibri" w:eastAsia="Calibri" w:hAnsi="Calibri"/>
                <w:color w:val="1B2A4A"/>
                <w:sz w:val="19"/>
                <w:szCs w:val="19"/>
              </w:rPr>
              <w:t xml:space="preserve">🖥️  Serveur : Hetzner VPS CX52 — 8 vCPU / 32 GB RAM / 240 GB SSD NVMe</w:t>
            </w:r>
          </w:p>
          <w:p>
            <w:pPr>
              <w:spacing w:after="60" w:before="60"/>
            </w:pPr>
            <w:r>
              <w:rPr>
                <w:rFonts w:ascii="Calibri" w:cs="Calibri" w:eastAsia="Calibri" w:hAnsi="Calibri"/>
                <w:color w:val="1B2A4A"/>
                <w:sz w:val="19"/>
                <w:szCs w:val="19"/>
              </w:rPr>
              <w:t xml:space="preserve">🐳  Orchestration : Docker Compose (n8n, LangGraph/FastAPI, PostgreSQL 16, Redis 7)</w:t>
            </w:r>
          </w:p>
          <w:p>
            <w:pPr>
              <w:spacing w:after="60" w:before="60"/>
            </w:pPr>
            <w:r>
              <w:rPr>
                <w:rFonts w:ascii="Calibri" w:cs="Calibri" w:eastAsia="Calibri" w:hAnsi="Calibri"/>
                <w:color w:val="1B2A4A"/>
                <w:sz w:val="19"/>
                <w:szCs w:val="19"/>
              </w:rPr>
              <w:t xml:space="preserve">🌐  Exposition : Cloudflare Tunnel (SSL automatique, DDoS, pas d'IP exposée)</w:t>
            </w:r>
          </w:p>
          <w:p>
            <w:pPr>
              <w:spacing w:after="60" w:before="60"/>
            </w:pPr>
            <w:r>
              <w:rPr>
                <w:rFonts w:ascii="Calibri" w:cs="Calibri" w:eastAsia="Calibri" w:hAnsi="Calibri"/>
                <w:color w:val="1B2A4A"/>
                <w:sz w:val="19"/>
                <w:szCs w:val="19"/>
              </w:rPr>
              <w:t xml:space="preserve">📊  Monitoring : Langfuse + Prometheus + Grafana (stack observabilité complète)</w:t>
            </w:r>
          </w:p>
        </w:tc>
      </w:tr>
    </w:tbl>
    <w:p>
      <w:pPr>
        <w:spacing w:after="0" w:before="120"/>
      </w:pPr>
    </w:p>
    <w:p>
      <w:r>
        <w:br w:type="page"/>
      </w:r>
    </w:p>
    <w:p>
      <w:pPr>
        <w:pBdr>
          <w:top w:val="none" w:color="FFFFFF" w:sz="0"/>
          <w:bottom w:val="single" w:color="2E5F8A" w:sz="4"/>
          <w:left w:val="single" w:color="C9A84C" w:sz="16"/>
          <w:right w:val="none" w:color="FFFFFF" w:sz="0"/>
        </w:pBdr>
        <w:shd w:fill="EEF2F8" w:val="clear"/>
        <w:spacing w:after="150" w:before="300"/>
        <w:ind w:left="180"/>
      </w:pPr>
      <w:r>
        <w:rPr>
          <w:rFonts w:ascii="Calibri" w:cs="Calibri" w:eastAsia="Calibri" w:hAnsi="Calibri"/>
          <w:b/>
          <w:bCs/>
          <w:color w:val="1B2A4A"/>
          <w:sz w:val="28"/>
          <w:szCs w:val="28"/>
        </w:rPr>
        <w:t xml:space="preserve">2. Stack technique complète SYNTHEX</w:t>
      </w:r>
    </w:p>
    <w:p>
      <w:pPr>
        <w:pBdr>
          <w:top w:val="none" w:color="FFFFFF" w:sz="0"/>
          <w:bottom w:val="single" w:color="C9A84C" w:sz="4"/>
          <w:left w:val="none" w:color="FFFFFF" w:sz="0"/>
          <w:right w:val="none" w:color="FFFFFF" w:sz="0"/>
        </w:pBdr>
        <w:spacing w:after="120" w:before="240"/>
      </w:pPr>
      <w:r>
        <w:rPr>
          <w:rFonts w:ascii="Calibri" w:cs="Calibri" w:eastAsia="Calibri" w:hAnsi="Calibri"/>
          <w:b/>
          <w:bCs/>
          <w:color w:val="2E5F8A"/>
          <w:sz w:val="24"/>
          <w:szCs w:val="24"/>
        </w:rPr>
        <w:t xml:space="preserve">2.1 Couche LLM (Modèles de langage)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Modèle</w:t>
            </w:r>
          </w:p>
        </w:tc>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Usage</w:t>
            </w:r>
          </w:p>
        </w:tc>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Agents assignés</w:t>
            </w:r>
          </w:p>
        </w:tc>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Coût estimé/M</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Claude Sonnet 4.6</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Raisonnement complexe, décisions stratégiques</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ARES, ATLAS, DIANA, OUROBOROS</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~$320 USD</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Claude Haiku 4.5</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Tâches légères, réponses rapides, IRIS</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IRIS, MERCURY (routines)</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~$45 USD</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GPT-4o</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Fallback critique si Claude indisponible</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Tous (fallback)</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~$80 USD</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text-embedding-3-small</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Vectorisation Pinecone (RAG)</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DIANA, APOLLO</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~$15 USD</w:t>
            </w:r>
          </w:p>
        </w:tc>
      </w:tr>
    </w:tbl>
    <w:p>
      <w:pPr>
        <w:spacing w:after="0" w:before="120"/>
      </w:pPr>
    </w:p>
    <w:p>
      <w:pPr>
        <w:pBdr>
          <w:top w:val="none" w:color="FFFFFF" w:sz="0"/>
          <w:bottom w:val="single" w:color="C9A84C" w:sz="4"/>
          <w:left w:val="none" w:color="FFFFFF" w:sz="0"/>
          <w:right w:val="none" w:color="FFFFFF" w:sz="0"/>
        </w:pBdr>
        <w:spacing w:after="120" w:before="240"/>
      </w:pPr>
      <w:r>
        <w:rPr>
          <w:rFonts w:ascii="Calibri" w:cs="Calibri" w:eastAsia="Calibri" w:hAnsi="Calibri"/>
          <w:b/>
          <w:bCs/>
          <w:color w:val="2E5F8A"/>
          <w:sz w:val="24"/>
          <w:szCs w:val="24"/>
        </w:rPr>
        <w:t xml:space="preserve">2.2 Couche mémoire — 3 niveaux</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Niveau</w:t>
            </w:r>
          </w:p>
        </w:tc>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Technologie</w:t>
            </w:r>
          </w:p>
        </w:tc>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Durée</w:t>
            </w:r>
          </w:p>
        </w:tc>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Usage</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Court terme</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Redis 7 (in-memory)</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&lt; 1 heure</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Contexte session, cache résultats API</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Moyen terme</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PostgreSQL 16</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6 ans (LCSA)</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État agents, logs THEMIS, transactions MINERVA</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Long terme</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Pinecone Serverless</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Permanent</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RAG vectoriel, namespaces par agent, knowledge base</w:t>
            </w:r>
          </w:p>
        </w:tc>
      </w:tr>
    </w:tbl>
    <w:p>
      <w:pPr>
        <w:spacing w:after="0" w:before="120"/>
      </w:pPr>
    </w:p>
    <w:p>
      <w:pPr>
        <w:pBdr>
          <w:top w:val="none" w:color="FFFFFF" w:sz="0"/>
          <w:bottom w:val="single" w:color="C9A84C" w:sz="4"/>
          <w:left w:val="none" w:color="FFFFFF" w:sz="0"/>
          <w:right w:val="none" w:color="FFFFFF" w:sz="0"/>
        </w:pBdr>
        <w:spacing w:after="120" w:before="240"/>
      </w:pPr>
      <w:r>
        <w:rPr>
          <w:rFonts w:ascii="Calibri" w:cs="Calibri" w:eastAsia="Calibri" w:hAnsi="Calibri"/>
          <w:b/>
          <w:bCs/>
          <w:color w:val="2E5F8A"/>
          <w:sz w:val="24"/>
          <w:szCs w:val="24"/>
        </w:rPr>
        <w:t xml:space="preserve">2.3 Couche infrastructure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tblGrid>
      <w:tr>
        <w:trPr>
          <w:tblHeader/>
        </w:trPr>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Composant</w:t>
            </w:r>
          </w:p>
        </w:tc>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Spécification</w:t>
            </w:r>
          </w:p>
        </w:tc>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Rôle</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Hetzner VPS CX52</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8 vCPU, 32 GB RAM, 240 GB SSD NVMe</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Serveur principal — héberge toute la stack</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Docker Compose</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Orchestration multi-conteneurs</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Déploiement reproductible, isolation par service</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Cloudflare Tunnel</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SSL automatique, DDoS protection</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Exposition sécurisée sans IP publique</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HashiCorp Vault</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Gestion des secrets &amp; rotations</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Clés API, tokens, credentials</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n8n v1.x</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Workflows automation visuels</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MERCURY, IRIS, HERMES, THEMIS, MINERVA</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LangGraph v1.0 + FastAPI</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Raisonnement multi-étapes</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ARES, ATLAS, DIANA, OUROBOROS, APOLLO, PROMETHEUS</w:t>
            </w:r>
          </w:p>
        </w:tc>
      </w:tr>
    </w:tbl>
    <w:p>
      <w:pPr>
        <w:spacing w:after="0" w:before="120"/>
      </w:pPr>
    </w:p>
    <w:p>
      <w:pPr>
        <w:pBdr>
          <w:top w:val="none" w:color="FFFFFF" w:sz="0"/>
          <w:bottom w:val="single" w:color="C9A84C" w:sz="4"/>
          <w:left w:val="none" w:color="FFFFFF" w:sz="0"/>
          <w:right w:val="none" w:color="FFFFFF" w:sz="0"/>
        </w:pBdr>
        <w:spacing w:after="120" w:before="240"/>
      </w:pPr>
      <w:r>
        <w:rPr>
          <w:rFonts w:ascii="Calibri" w:cs="Calibri" w:eastAsia="Calibri" w:hAnsi="Calibri"/>
          <w:b/>
          <w:bCs/>
          <w:color w:val="2E5F8A"/>
          <w:sz w:val="24"/>
          <w:szCs w:val="24"/>
        </w:rPr>
        <w:t xml:space="preserve">2.4 Comparaison n8n vs LangGraph</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tblGrid>
      <w:tr>
        <w:trPr>
          <w:tblHeader/>
        </w:trPr>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Critère</w:t>
            </w:r>
          </w:p>
        </w:tc>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n8n</w:t>
            </w:r>
          </w:p>
        </w:tc>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LangGraph</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Paradigme</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Workflows visuels, event-driven</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Graphes d'état, raisonnement multi-étapes</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Cas d'usage SYNTHEX</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Intégrations API, CRUD, alertes</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Agents complexes avec mémoire &amp; planification</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Agents assignés</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MERCURY, IRIS, HERMES, THEMIS, MINERVA, VULCAN</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ARES, ATLAS, DIANA, OUROBOROS, APOLLO, PROMETHEUS</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Mémoire persistante</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Limitée (via PostgreSQL externe)</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Native — state graph avec checkpointing</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Coût opérationnel</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Faible — exécutions simples</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Moyen — appels LLM plus fréquents</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Maintenance</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Très facile (UI visuelle)</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Requiert expertise Python/LangChain</w:t>
            </w:r>
          </w:p>
        </w:tc>
      </w:tr>
    </w:tbl>
    <w:p>
      <w:pPr>
        <w:spacing w:after="0" w:before="120"/>
      </w:pPr>
    </w:p>
    <w:p>
      <w:r>
        <w:br w:type="page"/>
      </w:r>
    </w:p>
    <w:p>
      <w:pPr>
        <w:pBdr>
          <w:top w:val="none" w:color="FFFFFF" w:sz="0"/>
          <w:bottom w:val="single" w:color="2E5F8A" w:sz="4"/>
          <w:left w:val="single" w:color="C9A84C" w:sz="16"/>
          <w:right w:val="none" w:color="FFFFFF" w:sz="0"/>
        </w:pBdr>
        <w:shd w:fill="EEF2F8" w:val="clear"/>
        <w:spacing w:after="150" w:before="300"/>
        <w:ind w:left="180"/>
      </w:pPr>
      <w:r>
        <w:rPr>
          <w:rFonts w:ascii="Calibri" w:cs="Calibri" w:eastAsia="Calibri" w:hAnsi="Calibri"/>
          <w:b/>
          <w:bCs/>
          <w:color w:val="1B2A4A"/>
          <w:sz w:val="28"/>
          <w:szCs w:val="28"/>
        </w:rPr>
        <w:t xml:space="preserve">3. Configuration Docker Compose</w:t>
      </w:r>
    </w:p>
    <w:p>
      <w:pPr>
        <w:pBdr>
          <w:top w:val="none" w:color="FFFFFF" w:sz="0"/>
          <w:bottom w:val="single" w:color="C9A84C" w:sz="4"/>
          <w:left w:val="none" w:color="FFFFFF" w:sz="0"/>
          <w:right w:val="none" w:color="FFFFFF" w:sz="0"/>
        </w:pBdr>
        <w:spacing w:after="120" w:before="240"/>
      </w:pPr>
      <w:r>
        <w:rPr>
          <w:rFonts w:ascii="Calibri" w:cs="Calibri" w:eastAsia="Calibri" w:hAnsi="Calibri"/>
          <w:b/>
          <w:bCs/>
          <w:color w:val="2E5F8A"/>
          <w:sz w:val="24"/>
          <w:szCs w:val="24"/>
        </w:rPr>
        <w:t xml:space="preserve">3.1 Structure des services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tblGrid>
      <w:tr>
        <w:tc>
          <w:tcPr>
            <w:tcBorders>
              <w:top w:val="single" w:color="1B2A4A" w:sz="4"/>
              <w:left w:val="single" w:color="2E5F8A" w:sz="12"/>
              <w:bottom w:val="single" w:color="1B2A4A" w:sz="4"/>
              <w:right w:val="single" w:color="1B2A4A" w:sz="4"/>
            </w:tcBorders>
            <w:shd w:fill="F5F6F8" w:val="clear"/>
            <w:tcMar>
              <w:top w:type="dxa" w:w="100"/>
              <w:left w:type="dxa" w:w="200"/>
              <w:bottom w:type="dxa" w:w="100"/>
              <w:right w:type="dxa" w:w="200"/>
            </w:tcMar>
          </w:tcPr>
          <w:p>
            <w:pPr>
              <w:spacing w:after="30" w:before="30"/>
            </w:pPr>
            <w:r>
              <w:rPr>
                <w:rFonts w:ascii="Courier New" w:cs="Courier New" w:eastAsia="Courier New" w:hAnsi="Courier New"/>
                <w:color w:val="1B2A4A"/>
                <w:sz w:val="17"/>
                <w:szCs w:val="17"/>
              </w:rPr>
              <w:t xml:space="preserve"># docker-compose.yml — SYNTHEX Infrastructure</w:t>
            </w:r>
          </w:p>
          <w:p>
            <w:pPr>
              <w:spacing w:after="30" w:before="30"/>
            </w:pPr>
            <w:r>
              <w:rPr>
                <w:rFonts w:ascii="Courier New" w:cs="Courier New" w:eastAsia="Courier New" w:hAnsi="Courier New"/>
                <w:color w:val="1B2A4A"/>
                <w:sz w:val="17"/>
                <w:szCs w:val="17"/>
              </w:rPr>
              <w:t xml:space="preserve"/>
            </w:r>
          </w:p>
          <w:p>
            <w:pPr>
              <w:spacing w:after="30" w:before="30"/>
            </w:pPr>
            <w:r>
              <w:rPr>
                <w:rFonts w:ascii="Courier New" w:cs="Courier New" w:eastAsia="Courier New" w:hAnsi="Courier New"/>
                <w:color w:val="1B2A4A"/>
                <w:sz w:val="17"/>
                <w:szCs w:val="17"/>
              </w:rPr>
              <w:t xml:space="preserve">version: '3.9'</w:t>
            </w:r>
          </w:p>
          <w:p>
            <w:pPr>
              <w:spacing w:after="30" w:before="30"/>
            </w:pPr>
            <w:r>
              <w:rPr>
                <w:rFonts w:ascii="Courier New" w:cs="Courier New" w:eastAsia="Courier New" w:hAnsi="Courier New"/>
                <w:color w:val="1B2A4A"/>
                <w:sz w:val="17"/>
                <w:szCs w:val="17"/>
              </w:rPr>
              <w:t xml:space="preserve">services:</w:t>
            </w:r>
          </w:p>
          <w:p>
            <w:pPr>
              <w:spacing w:after="30" w:before="30"/>
            </w:pPr>
            <w:r>
              <w:rPr>
                <w:rFonts w:ascii="Courier New" w:cs="Courier New" w:eastAsia="Courier New" w:hAnsi="Courier New"/>
                <w:color w:val="1B2A4A"/>
                <w:sz w:val="17"/>
                <w:szCs w:val="17"/>
              </w:rPr>
              <w:t xml:space="preserve"/>
            </w:r>
          </w:p>
          <w:p>
            <w:pPr>
              <w:spacing w:after="30" w:before="30"/>
            </w:pPr>
            <w:r>
              <w:rPr>
                <w:rFonts w:ascii="Courier New" w:cs="Courier New" w:eastAsia="Courier New" w:hAnsi="Courier New"/>
                <w:color w:val="1B2A4A"/>
                <w:sz w:val="17"/>
                <w:szCs w:val="17"/>
              </w:rPr>
              <w:t xml:space="preserve">  n8n:</w:t>
            </w:r>
          </w:p>
          <w:p>
            <w:pPr>
              <w:spacing w:after="30" w:before="30"/>
            </w:pPr>
            <w:r>
              <w:rPr>
                <w:rFonts w:ascii="Courier New" w:cs="Courier New" w:eastAsia="Courier New" w:hAnsi="Courier New"/>
                <w:color w:val="1B2A4A"/>
                <w:sz w:val="17"/>
                <w:szCs w:val="17"/>
              </w:rPr>
              <w:t xml:space="preserve">    image: n8nio/n8n:latest</w:t>
            </w:r>
          </w:p>
          <w:p>
            <w:pPr>
              <w:spacing w:after="30" w:before="30"/>
            </w:pPr>
            <w:r>
              <w:rPr>
                <w:rFonts w:ascii="Courier New" w:cs="Courier New" w:eastAsia="Courier New" w:hAnsi="Courier New"/>
                <w:color w:val="1B2A4A"/>
                <w:sz w:val="17"/>
                <w:szCs w:val="17"/>
              </w:rPr>
              <w:t xml:space="preserve">    ports: ['5678:5678']</w:t>
            </w:r>
          </w:p>
          <w:p>
            <w:pPr>
              <w:spacing w:after="30" w:before="30"/>
            </w:pPr>
            <w:r>
              <w:rPr>
                <w:rFonts w:ascii="Courier New" w:cs="Courier New" w:eastAsia="Courier New" w:hAnsi="Courier New"/>
                <w:color w:val="1B2A4A"/>
                <w:sz w:val="17"/>
                <w:szCs w:val="17"/>
              </w:rPr>
              <w:t xml:space="preserve">    environment:</w:t>
            </w:r>
          </w:p>
          <w:p>
            <w:pPr>
              <w:spacing w:after="30" w:before="30"/>
            </w:pPr>
            <w:r>
              <w:rPr>
                <w:rFonts w:ascii="Courier New" w:cs="Courier New" w:eastAsia="Courier New" w:hAnsi="Courier New"/>
                <w:color w:val="1B2A4A"/>
                <w:sz w:val="17"/>
                <w:szCs w:val="17"/>
              </w:rPr>
              <w:t xml:space="preserve">      - N8N_BASIC_AUTH_ACTIVE=true</w:t>
            </w:r>
          </w:p>
          <w:p>
            <w:pPr>
              <w:spacing w:after="30" w:before="30"/>
            </w:pPr>
            <w:r>
              <w:rPr>
                <w:rFonts w:ascii="Courier New" w:cs="Courier New" w:eastAsia="Courier New" w:hAnsi="Courier New"/>
                <w:color w:val="1B2A4A"/>
                <w:sz w:val="17"/>
                <w:szCs w:val="17"/>
              </w:rPr>
              <w:t xml:space="preserve">      - N8N_HOST=n8n.synthex.ai</w:t>
            </w:r>
          </w:p>
          <w:p>
            <w:pPr>
              <w:spacing w:after="30" w:before="30"/>
            </w:pPr>
            <w:r>
              <w:rPr>
                <w:rFonts w:ascii="Courier New" w:cs="Courier New" w:eastAsia="Courier New" w:hAnsi="Courier New"/>
                <w:color w:val="1B2A4A"/>
                <w:sz w:val="17"/>
                <w:szCs w:val="17"/>
              </w:rPr>
              <w:t xml:space="preserve">      - N8N_ENCRYPTION_KEY=${N8N_ENCRYPTION_KEY}</w:t>
            </w:r>
          </w:p>
          <w:p>
            <w:pPr>
              <w:spacing w:after="30" w:before="30"/>
            </w:pPr>
            <w:r>
              <w:rPr>
                <w:rFonts w:ascii="Courier New" w:cs="Courier New" w:eastAsia="Courier New" w:hAnsi="Courier New"/>
                <w:color w:val="1B2A4A"/>
                <w:sz w:val="17"/>
                <w:szCs w:val="17"/>
              </w:rPr>
              <w:t xml:space="preserve">    volumes: ['n8n_data:/home/node/.n8n']</w:t>
            </w:r>
          </w:p>
          <w:p>
            <w:pPr>
              <w:spacing w:after="30" w:before="30"/>
            </w:pPr>
            <w:r>
              <w:rPr>
                <w:rFonts w:ascii="Courier New" w:cs="Courier New" w:eastAsia="Courier New" w:hAnsi="Courier New"/>
                <w:color w:val="1B2A4A"/>
                <w:sz w:val="17"/>
                <w:szCs w:val="17"/>
              </w:rPr>
              <w:t xml:space="preserve">    depends_on: [postgres, redis]</w:t>
            </w:r>
          </w:p>
          <w:p>
            <w:pPr>
              <w:spacing w:after="30" w:before="30"/>
            </w:pPr>
            <w:r>
              <w:rPr>
                <w:rFonts w:ascii="Courier New" w:cs="Courier New" w:eastAsia="Courier New" w:hAnsi="Courier New"/>
                <w:color w:val="1B2A4A"/>
                <w:sz w:val="17"/>
                <w:szCs w:val="17"/>
              </w:rPr>
              <w:t xml:space="preserve"/>
            </w:r>
          </w:p>
          <w:p>
            <w:pPr>
              <w:spacing w:after="30" w:before="30"/>
            </w:pPr>
            <w:r>
              <w:rPr>
                <w:rFonts w:ascii="Courier New" w:cs="Courier New" w:eastAsia="Courier New" w:hAnsi="Courier New"/>
                <w:color w:val="1B2A4A"/>
                <w:sz w:val="17"/>
                <w:szCs w:val="17"/>
              </w:rPr>
              <w:t xml:space="preserve">  langgraph:</w:t>
            </w:r>
          </w:p>
          <w:p>
            <w:pPr>
              <w:spacing w:after="30" w:before="30"/>
            </w:pPr>
            <w:r>
              <w:rPr>
                <w:rFonts w:ascii="Courier New" w:cs="Courier New" w:eastAsia="Courier New" w:hAnsi="Courier New"/>
                <w:color w:val="1B2A4A"/>
                <w:sz w:val="17"/>
                <w:szCs w:val="17"/>
              </w:rPr>
              <w:t xml:space="preserve">    build: ./langgraph-server</w:t>
            </w:r>
          </w:p>
          <w:p>
            <w:pPr>
              <w:spacing w:after="30" w:before="30"/>
            </w:pPr>
            <w:r>
              <w:rPr>
                <w:rFonts w:ascii="Courier New" w:cs="Courier New" w:eastAsia="Courier New" w:hAnsi="Courier New"/>
                <w:color w:val="1B2A4A"/>
                <w:sz w:val="17"/>
                <w:szCs w:val="17"/>
              </w:rPr>
              <w:t xml:space="preserve">    ports: ['8000:8000']</w:t>
            </w:r>
          </w:p>
          <w:p>
            <w:pPr>
              <w:spacing w:after="30" w:before="30"/>
            </w:pPr>
            <w:r>
              <w:rPr>
                <w:rFonts w:ascii="Courier New" w:cs="Courier New" w:eastAsia="Courier New" w:hAnsi="Courier New"/>
                <w:color w:val="1B2A4A"/>
                <w:sz w:val="17"/>
                <w:szCs w:val="17"/>
              </w:rPr>
              <w:t xml:space="preserve">    environment:</w:t>
            </w:r>
          </w:p>
          <w:p>
            <w:pPr>
              <w:spacing w:after="30" w:before="30"/>
            </w:pPr>
            <w:r>
              <w:rPr>
                <w:rFonts w:ascii="Courier New" w:cs="Courier New" w:eastAsia="Courier New" w:hAnsi="Courier New"/>
                <w:color w:val="1B2A4A"/>
                <w:sz w:val="17"/>
                <w:szCs w:val="17"/>
              </w:rPr>
              <w:t xml:space="preserve">      - ANTHROPIC_API_KEY=${ANTHROPIC_API_KEY}</w:t>
            </w:r>
          </w:p>
          <w:p>
            <w:pPr>
              <w:spacing w:after="30" w:before="30"/>
            </w:pPr>
            <w:r>
              <w:rPr>
                <w:rFonts w:ascii="Courier New" w:cs="Courier New" w:eastAsia="Courier New" w:hAnsi="Courier New"/>
                <w:color w:val="1B2A4A"/>
                <w:sz w:val="17"/>
                <w:szCs w:val="17"/>
              </w:rPr>
              <w:t xml:space="preserve">      - PINECONE_API_KEY=${PINECONE_API_KEY}</w:t>
            </w:r>
          </w:p>
          <w:p>
            <w:pPr>
              <w:spacing w:after="30" w:before="30"/>
            </w:pPr>
            <w:r>
              <w:rPr>
                <w:rFonts w:ascii="Courier New" w:cs="Courier New" w:eastAsia="Courier New" w:hAnsi="Courier New"/>
                <w:color w:val="1B2A4A"/>
                <w:sz w:val="17"/>
                <w:szCs w:val="17"/>
              </w:rPr>
              <w:t xml:space="preserve">      - DATABASE_URL=${DATABASE_URL}</w:t>
            </w:r>
          </w:p>
          <w:p>
            <w:pPr>
              <w:spacing w:after="30" w:before="30"/>
            </w:pPr>
            <w:r>
              <w:rPr>
                <w:rFonts w:ascii="Courier New" w:cs="Courier New" w:eastAsia="Courier New" w:hAnsi="Courier New"/>
                <w:color w:val="1B2A4A"/>
                <w:sz w:val="17"/>
                <w:szCs w:val="17"/>
              </w:rPr>
              <w:t xml:space="preserve">    depends_on: [postgres, redis]</w:t>
            </w:r>
          </w:p>
          <w:p>
            <w:pPr>
              <w:spacing w:after="30" w:before="30"/>
            </w:pPr>
            <w:r>
              <w:rPr>
                <w:rFonts w:ascii="Courier New" w:cs="Courier New" w:eastAsia="Courier New" w:hAnsi="Courier New"/>
                <w:color w:val="1B2A4A"/>
                <w:sz w:val="17"/>
                <w:szCs w:val="17"/>
              </w:rPr>
              <w:t xml:space="preserve"/>
            </w:r>
          </w:p>
          <w:p>
            <w:pPr>
              <w:spacing w:after="30" w:before="30"/>
            </w:pPr>
            <w:r>
              <w:rPr>
                <w:rFonts w:ascii="Courier New" w:cs="Courier New" w:eastAsia="Courier New" w:hAnsi="Courier New"/>
                <w:color w:val="1B2A4A"/>
                <w:sz w:val="17"/>
                <w:szCs w:val="17"/>
              </w:rPr>
              <w:t xml:space="preserve">  postgres:</w:t>
            </w:r>
          </w:p>
          <w:p>
            <w:pPr>
              <w:spacing w:after="30" w:before="30"/>
            </w:pPr>
            <w:r>
              <w:rPr>
                <w:rFonts w:ascii="Courier New" w:cs="Courier New" w:eastAsia="Courier New" w:hAnsi="Courier New"/>
                <w:color w:val="1B2A4A"/>
                <w:sz w:val="17"/>
                <w:szCs w:val="17"/>
              </w:rPr>
              <w:t xml:space="preserve">    image: postgres:16-alpine</w:t>
            </w:r>
          </w:p>
          <w:p>
            <w:pPr>
              <w:spacing w:after="30" w:before="30"/>
            </w:pPr>
            <w:r>
              <w:rPr>
                <w:rFonts w:ascii="Courier New" w:cs="Courier New" w:eastAsia="Courier New" w:hAnsi="Courier New"/>
                <w:color w:val="1B2A4A"/>
                <w:sz w:val="17"/>
                <w:szCs w:val="17"/>
              </w:rPr>
              <w:t xml:space="preserve">    environment:</w:t>
            </w:r>
          </w:p>
          <w:p>
            <w:pPr>
              <w:spacing w:after="30" w:before="30"/>
            </w:pPr>
            <w:r>
              <w:rPr>
                <w:rFonts w:ascii="Courier New" w:cs="Courier New" w:eastAsia="Courier New" w:hAnsi="Courier New"/>
                <w:color w:val="1B2A4A"/>
                <w:sz w:val="17"/>
                <w:szCs w:val="17"/>
              </w:rPr>
              <w:t xml:space="preserve">      - POSTGRES_DB=synthex</w:t>
            </w:r>
          </w:p>
          <w:p>
            <w:pPr>
              <w:spacing w:after="30" w:before="30"/>
            </w:pPr>
            <w:r>
              <w:rPr>
                <w:rFonts w:ascii="Courier New" w:cs="Courier New" w:eastAsia="Courier New" w:hAnsi="Courier New"/>
                <w:color w:val="1B2A4A"/>
                <w:sz w:val="17"/>
                <w:szCs w:val="17"/>
              </w:rPr>
              <w:t xml:space="preserve">      - POSTGRES_PASSWORD=${POSTGRES_PASSWORD}</w:t>
            </w:r>
          </w:p>
          <w:p>
            <w:pPr>
              <w:spacing w:after="30" w:before="30"/>
            </w:pPr>
            <w:r>
              <w:rPr>
                <w:rFonts w:ascii="Courier New" w:cs="Courier New" w:eastAsia="Courier New" w:hAnsi="Courier New"/>
                <w:color w:val="1B2A4A"/>
                <w:sz w:val="17"/>
                <w:szCs w:val="17"/>
              </w:rPr>
              <w:t xml:space="preserve">    volumes: ['pg_data:/var/lib/postgresql/data']</w:t>
            </w:r>
          </w:p>
          <w:p>
            <w:pPr>
              <w:spacing w:after="30" w:before="30"/>
            </w:pPr>
            <w:r>
              <w:rPr>
                <w:rFonts w:ascii="Courier New" w:cs="Courier New" w:eastAsia="Courier New" w:hAnsi="Courier New"/>
                <w:color w:val="1B2A4A"/>
                <w:sz w:val="17"/>
                <w:szCs w:val="17"/>
              </w:rPr>
              <w:t xml:space="preserve"/>
            </w:r>
          </w:p>
          <w:p>
            <w:pPr>
              <w:spacing w:after="30" w:before="30"/>
            </w:pPr>
            <w:r>
              <w:rPr>
                <w:rFonts w:ascii="Courier New" w:cs="Courier New" w:eastAsia="Courier New" w:hAnsi="Courier New"/>
                <w:color w:val="1B2A4A"/>
                <w:sz w:val="17"/>
                <w:szCs w:val="17"/>
              </w:rPr>
              <w:t xml:space="preserve">  redis:</w:t>
            </w:r>
          </w:p>
          <w:p>
            <w:pPr>
              <w:spacing w:after="30" w:before="30"/>
            </w:pPr>
            <w:r>
              <w:rPr>
                <w:rFonts w:ascii="Courier New" w:cs="Courier New" w:eastAsia="Courier New" w:hAnsi="Courier New"/>
                <w:color w:val="1B2A4A"/>
                <w:sz w:val="17"/>
                <w:szCs w:val="17"/>
              </w:rPr>
              <w:t xml:space="preserve">    image: redis:7-alpine</w:t>
            </w:r>
          </w:p>
          <w:p>
            <w:pPr>
              <w:spacing w:after="30" w:before="30"/>
            </w:pPr>
            <w:r>
              <w:rPr>
                <w:rFonts w:ascii="Courier New" w:cs="Courier New" w:eastAsia="Courier New" w:hAnsi="Courier New"/>
                <w:color w:val="1B2A4A"/>
                <w:sz w:val="17"/>
                <w:szCs w:val="17"/>
              </w:rPr>
              <w:t xml:space="preserve">    command: redis-server --requirepass ${REDIS_PASSWORD}</w:t>
            </w:r>
          </w:p>
          <w:p>
            <w:pPr>
              <w:spacing w:after="30" w:before="30"/>
            </w:pPr>
            <w:r>
              <w:rPr>
                <w:rFonts w:ascii="Courier New" w:cs="Courier New" w:eastAsia="Courier New" w:hAnsi="Courier New"/>
                <w:color w:val="1B2A4A"/>
                <w:sz w:val="17"/>
                <w:szCs w:val="17"/>
              </w:rPr>
              <w:t xml:space="preserve"/>
            </w:r>
          </w:p>
          <w:p>
            <w:pPr>
              <w:spacing w:after="30" w:before="30"/>
            </w:pPr>
            <w:r>
              <w:rPr>
                <w:rFonts w:ascii="Courier New" w:cs="Courier New" w:eastAsia="Courier New" w:hAnsi="Courier New"/>
                <w:color w:val="1B2A4A"/>
                <w:sz w:val="17"/>
                <w:szCs w:val="17"/>
              </w:rPr>
              <w:t xml:space="preserve">  langfuse:</w:t>
            </w:r>
          </w:p>
          <w:p>
            <w:pPr>
              <w:spacing w:after="30" w:before="30"/>
            </w:pPr>
            <w:r>
              <w:rPr>
                <w:rFonts w:ascii="Courier New" w:cs="Courier New" w:eastAsia="Courier New" w:hAnsi="Courier New"/>
                <w:color w:val="1B2A4A"/>
                <w:sz w:val="17"/>
                <w:szCs w:val="17"/>
              </w:rPr>
              <w:t xml:space="preserve">    image: langfuse/langfuse:latest</w:t>
            </w:r>
          </w:p>
          <w:p>
            <w:pPr>
              <w:spacing w:after="30" w:before="30"/>
            </w:pPr>
            <w:r>
              <w:rPr>
                <w:rFonts w:ascii="Courier New" w:cs="Courier New" w:eastAsia="Courier New" w:hAnsi="Courier New"/>
                <w:color w:val="1B2A4A"/>
                <w:sz w:val="17"/>
                <w:szCs w:val="17"/>
              </w:rPr>
              <w:t xml:space="preserve">    ports: ['3000:3000']</w:t>
            </w:r>
          </w:p>
          <w:p>
            <w:pPr>
              <w:spacing w:after="30" w:before="30"/>
            </w:pPr>
            <w:r>
              <w:rPr>
                <w:rFonts w:ascii="Courier New" w:cs="Courier New" w:eastAsia="Courier New" w:hAnsi="Courier New"/>
                <w:color w:val="1B2A4A"/>
                <w:sz w:val="17"/>
                <w:szCs w:val="17"/>
              </w:rPr>
              <w:t xml:space="preserve">    environment:</w:t>
            </w:r>
          </w:p>
          <w:p>
            <w:pPr>
              <w:spacing w:after="30" w:before="30"/>
            </w:pPr>
            <w:r>
              <w:rPr>
                <w:rFonts w:ascii="Courier New" w:cs="Courier New" w:eastAsia="Courier New" w:hAnsi="Courier New"/>
                <w:color w:val="1B2A4A"/>
                <w:sz w:val="17"/>
                <w:szCs w:val="17"/>
              </w:rPr>
              <w:t xml:space="preserve">      - DATABASE_URL=${DATABASE_URL}</w:t>
            </w:r>
          </w:p>
          <w:p>
            <w:pPr>
              <w:spacing w:after="30" w:before="30"/>
            </w:pPr>
            <w:r>
              <w:rPr>
                <w:rFonts w:ascii="Courier New" w:cs="Courier New" w:eastAsia="Courier New" w:hAnsi="Courier New"/>
                <w:color w:val="1B2A4A"/>
                <w:sz w:val="17"/>
                <w:szCs w:val="17"/>
              </w:rPr>
              <w:t xml:space="preserve"/>
            </w:r>
          </w:p>
          <w:p>
            <w:pPr>
              <w:spacing w:after="30" w:before="30"/>
            </w:pPr>
            <w:r>
              <w:rPr>
                <w:rFonts w:ascii="Courier New" w:cs="Courier New" w:eastAsia="Courier New" w:hAnsi="Courier New"/>
                <w:color w:val="1B2A4A"/>
                <w:sz w:val="17"/>
                <w:szCs w:val="17"/>
              </w:rPr>
              <w:t xml:space="preserve">  prometheus:</w:t>
            </w:r>
          </w:p>
          <w:p>
            <w:pPr>
              <w:spacing w:after="30" w:before="30"/>
            </w:pPr>
            <w:r>
              <w:rPr>
                <w:rFonts w:ascii="Courier New" w:cs="Courier New" w:eastAsia="Courier New" w:hAnsi="Courier New"/>
                <w:color w:val="1B2A4A"/>
                <w:sz w:val="17"/>
                <w:szCs w:val="17"/>
              </w:rPr>
              <w:t xml:space="preserve">    image: prom/prometheus:latest</w:t>
            </w:r>
          </w:p>
          <w:p>
            <w:pPr>
              <w:spacing w:after="30" w:before="30"/>
            </w:pPr>
            <w:r>
              <w:rPr>
                <w:rFonts w:ascii="Courier New" w:cs="Courier New" w:eastAsia="Courier New" w:hAnsi="Courier New"/>
                <w:color w:val="1B2A4A"/>
                <w:sz w:val="17"/>
                <w:szCs w:val="17"/>
              </w:rPr>
              <w:t xml:space="preserve">    volumes: ['./prometheus.yml:/etc/prometheus/prometheus.yml']</w:t>
            </w:r>
          </w:p>
          <w:p>
            <w:pPr>
              <w:spacing w:after="30" w:before="30"/>
            </w:pPr>
            <w:r>
              <w:rPr>
                <w:rFonts w:ascii="Courier New" w:cs="Courier New" w:eastAsia="Courier New" w:hAnsi="Courier New"/>
                <w:color w:val="1B2A4A"/>
                <w:sz w:val="17"/>
                <w:szCs w:val="17"/>
              </w:rPr>
              <w:t xml:space="preserve"/>
            </w:r>
          </w:p>
          <w:p>
            <w:pPr>
              <w:spacing w:after="30" w:before="30"/>
            </w:pPr>
            <w:r>
              <w:rPr>
                <w:rFonts w:ascii="Courier New" w:cs="Courier New" w:eastAsia="Courier New" w:hAnsi="Courier New"/>
                <w:color w:val="1B2A4A"/>
                <w:sz w:val="17"/>
                <w:szCs w:val="17"/>
              </w:rPr>
              <w:t xml:space="preserve">  grafana:</w:t>
            </w:r>
          </w:p>
          <w:p>
            <w:pPr>
              <w:spacing w:after="30" w:before="30"/>
            </w:pPr>
            <w:r>
              <w:rPr>
                <w:rFonts w:ascii="Courier New" w:cs="Courier New" w:eastAsia="Courier New" w:hAnsi="Courier New"/>
                <w:color w:val="1B2A4A"/>
                <w:sz w:val="17"/>
                <w:szCs w:val="17"/>
              </w:rPr>
              <w:t xml:space="preserve">    image: grafana/grafana:latest</w:t>
            </w:r>
          </w:p>
          <w:p>
            <w:pPr>
              <w:spacing w:after="30" w:before="30"/>
            </w:pPr>
            <w:r>
              <w:rPr>
                <w:rFonts w:ascii="Courier New" w:cs="Courier New" w:eastAsia="Courier New" w:hAnsi="Courier New"/>
                <w:color w:val="1B2A4A"/>
                <w:sz w:val="17"/>
                <w:szCs w:val="17"/>
              </w:rPr>
              <w:t xml:space="preserve">    ports: ['4000:3000']</w:t>
            </w:r>
          </w:p>
          <w:p>
            <w:pPr>
              <w:spacing w:after="30" w:before="30"/>
            </w:pPr>
            <w:r>
              <w:rPr>
                <w:rFonts w:ascii="Courier New" w:cs="Courier New" w:eastAsia="Courier New" w:hAnsi="Courier New"/>
                <w:color w:val="1B2A4A"/>
                <w:sz w:val="17"/>
                <w:szCs w:val="17"/>
              </w:rPr>
              <w:t xml:space="preserve">    volumes: ['grafana_data:/var/lib/grafana']</w:t>
            </w:r>
          </w:p>
          <w:p>
            <w:pPr>
              <w:spacing w:after="30" w:before="30"/>
            </w:pPr>
            <w:r>
              <w:rPr>
                <w:rFonts w:ascii="Courier New" w:cs="Courier New" w:eastAsia="Courier New" w:hAnsi="Courier New"/>
                <w:color w:val="1B2A4A"/>
                <w:sz w:val="17"/>
                <w:szCs w:val="17"/>
              </w:rPr>
              <w:t xml:space="preserve"/>
            </w:r>
          </w:p>
          <w:p>
            <w:pPr>
              <w:spacing w:after="30" w:before="30"/>
            </w:pPr>
            <w:r>
              <w:rPr>
                <w:rFonts w:ascii="Courier New" w:cs="Courier New" w:eastAsia="Courier New" w:hAnsi="Courier New"/>
                <w:color w:val="1B2A4A"/>
                <w:sz w:val="17"/>
                <w:szCs w:val="17"/>
              </w:rPr>
              <w:t xml:space="preserve">volumes:</w:t>
            </w:r>
          </w:p>
          <w:p>
            <w:pPr>
              <w:spacing w:after="30" w:before="30"/>
            </w:pPr>
            <w:r>
              <w:rPr>
                <w:rFonts w:ascii="Courier New" w:cs="Courier New" w:eastAsia="Courier New" w:hAnsi="Courier New"/>
                <w:color w:val="1B2A4A"/>
                <w:sz w:val="17"/>
                <w:szCs w:val="17"/>
              </w:rPr>
              <w:t xml:space="preserve">  n8n_data: {} pg_data: {} grafana_data: {}</w:t>
            </w:r>
          </w:p>
        </w:tc>
      </w:tr>
    </w:tbl>
    <w:p>
      <w:pPr>
        <w:spacing w:after="0" w:before="120"/>
      </w:pPr>
    </w:p>
    <w:p>
      <w:r>
        <w:br w:type="page"/>
      </w:r>
    </w:p>
    <w:p>
      <w:pPr>
        <w:pBdr>
          <w:top w:val="none" w:color="FFFFFF" w:sz="0"/>
          <w:bottom w:val="single" w:color="2E5F8A" w:sz="4"/>
          <w:left w:val="single" w:color="C9A84C" w:sz="16"/>
          <w:right w:val="none" w:color="FFFFFF" w:sz="0"/>
        </w:pBdr>
        <w:shd w:fill="EEF2F8" w:val="clear"/>
        <w:spacing w:after="150" w:before="300"/>
        <w:ind w:left="180"/>
      </w:pPr>
      <w:r>
        <w:rPr>
          <w:rFonts w:ascii="Calibri" w:cs="Calibri" w:eastAsia="Calibri" w:hAnsi="Calibri"/>
          <w:b/>
          <w:bCs/>
          <w:color w:val="1B2A4A"/>
          <w:sz w:val="28"/>
          <w:szCs w:val="28"/>
        </w:rPr>
        <w:t xml:space="preserve">4. Plan de déploiement — 4 phases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Phase</w:t>
            </w:r>
          </w:p>
        </w:tc>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Durée</w:t>
            </w:r>
          </w:p>
        </w:tc>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Agents activés</w:t>
            </w:r>
          </w:p>
        </w:tc>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Objectif principal</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Phase 1 — Fondations</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Semaines 1-2</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ATLAS, VULCAN, THEMIS, OUROBOROS</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Infrastructure opérationnelle &amp; gouvernance</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Phase 2 — Premiers revenus</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Semaines 3-4</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 MINERVA, MERCURY, DIANA, IRIS</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Pipeline commercial actif, MRR $12K</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Phase 3 — Croissance</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Semaines 5-6</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 HERMES, APOLLO, PROMETHEUS</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Contenu &amp; R&amp;D, MRR $47K</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Phase 4 — Autonomie</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Semaine 7+</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ARES + boucle OUROBOROS complète</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SYNTHEX auto-dirigée, MRR $71K+</w:t>
            </w:r>
          </w:p>
        </w:tc>
      </w:tr>
    </w:tbl>
    <w:p>
      <w:pPr>
        <w:spacing w:after="0" w:before="120"/>
      </w:pPr>
    </w:p>
    <w:p>
      <w:pPr>
        <w:pBdr>
          <w:top w:val="none" w:color="FFFFFF" w:sz="0"/>
          <w:bottom w:val="single" w:color="C9A84C" w:sz="4"/>
          <w:left w:val="none" w:color="FFFFFF" w:sz="0"/>
          <w:right w:val="none" w:color="FFFFFF" w:sz="0"/>
        </w:pBdr>
        <w:spacing w:after="120" w:before="240"/>
      </w:pPr>
      <w:r>
        <w:rPr>
          <w:rFonts w:ascii="Calibri" w:cs="Calibri" w:eastAsia="Calibri" w:hAnsi="Calibri"/>
          <w:b/>
          <w:bCs/>
          <w:color w:val="2E5F8A"/>
          <w:sz w:val="24"/>
          <w:szCs w:val="24"/>
        </w:rPr>
        <w:t xml:space="preserve">4.1 Checklist Phase 1 — Fondations techniques</w:t>
      </w:r>
    </w:p>
    <w:p>
      <w:pPr>
        <w:spacing w:after="60" w:before="60"/>
        <w:ind w:left="360"/>
      </w:pPr>
      <w:r>
        <w:rPr>
          <w:rFonts w:ascii="Calibri" w:cs="Calibri" w:eastAsia="Calibri" w:hAnsi="Calibri"/>
          <w:color w:val="2D3748"/>
          <w:sz w:val="20"/>
          <w:szCs w:val="20"/>
        </w:rPr>
        <w:t xml:space="preserve">▸  Provisionner Hetzner VPS CX52 (région Falkenstein, Allemagne)</w:t>
      </w:r>
    </w:p>
    <w:p>
      <w:pPr>
        <w:spacing w:after="60" w:before="60"/>
        <w:ind w:left="360"/>
      </w:pPr>
      <w:r>
        <w:rPr>
          <w:rFonts w:ascii="Calibri" w:cs="Calibri" w:eastAsia="Calibri" w:hAnsi="Calibri"/>
          <w:color w:val="2D3748"/>
          <w:sz w:val="20"/>
          <w:szCs w:val="20"/>
        </w:rPr>
        <w:t xml:space="preserve">▸  Configurer Cloudflare Tunnel + DNS wildcard *.synthex.ai</w:t>
      </w:r>
    </w:p>
    <w:p>
      <w:pPr>
        <w:spacing w:after="60" w:before="60"/>
        <w:ind w:left="360"/>
      </w:pPr>
      <w:r>
        <w:rPr>
          <w:rFonts w:ascii="Calibri" w:cs="Calibri" w:eastAsia="Calibri" w:hAnsi="Calibri"/>
          <w:color w:val="2D3748"/>
          <w:sz w:val="20"/>
          <w:szCs w:val="20"/>
        </w:rPr>
        <w:t xml:space="preserve">▸  Déployer stack Docker Compose (n8n, LangGraph, PostgreSQL, Redis)</w:t>
      </w:r>
    </w:p>
    <w:p>
      <w:pPr>
        <w:spacing w:after="60" w:before="60"/>
        <w:ind w:left="360"/>
      </w:pPr>
      <w:r>
        <w:rPr>
          <w:rFonts w:ascii="Calibri" w:cs="Calibri" w:eastAsia="Calibri" w:hAnsi="Calibri"/>
          <w:color w:val="2D3748"/>
          <w:sz w:val="20"/>
          <w:szCs w:val="20"/>
        </w:rPr>
        <w:t xml:space="preserve">▸  Initialiser HashiCorp Vault + injecter tous les secrets</w:t>
      </w:r>
    </w:p>
    <w:p>
      <w:pPr>
        <w:spacing w:after="60" w:before="60"/>
        <w:ind w:left="360"/>
      </w:pPr>
      <w:r>
        <w:rPr>
          <w:rFonts w:ascii="Calibri" w:cs="Calibri" w:eastAsia="Calibri" w:hAnsi="Calibri"/>
          <w:color w:val="2D3748"/>
          <w:sz w:val="20"/>
          <w:szCs w:val="20"/>
        </w:rPr>
        <w:t xml:space="preserve">▸  Déployer THEMIS (CAO) — audit trail PostgreSQL opérationnel</w:t>
      </w:r>
    </w:p>
    <w:p>
      <w:pPr>
        <w:spacing w:after="60" w:before="60"/>
        <w:ind w:left="360"/>
      </w:pPr>
      <w:r>
        <w:rPr>
          <w:rFonts w:ascii="Calibri" w:cs="Calibri" w:eastAsia="Calibri" w:hAnsi="Calibri"/>
          <w:color w:val="2D3748"/>
          <w:sz w:val="20"/>
          <w:szCs w:val="20"/>
        </w:rPr>
        <w:t xml:space="preserve">▸  Déployer VULCAN (CIO) — monitoring Prometheus + Grafana</w:t>
      </w:r>
    </w:p>
    <w:p>
      <w:pPr>
        <w:spacing w:after="60" w:before="60"/>
        <w:ind w:left="360"/>
      </w:pPr>
      <w:r>
        <w:rPr>
          <w:rFonts w:ascii="Calibri" w:cs="Calibri" w:eastAsia="Calibri" w:hAnsi="Calibri"/>
          <w:color w:val="2D3748"/>
          <w:sz w:val="20"/>
          <w:szCs w:val="20"/>
        </w:rPr>
        <w:t xml:space="preserve">▸  Déployer OUROBOROS — boucle d'auto-amélioration en mode surveillance</w:t>
      </w:r>
    </w:p>
    <w:p>
      <w:pPr>
        <w:spacing w:after="60" w:before="60"/>
        <w:ind w:left="360"/>
      </w:pPr>
      <w:r>
        <w:rPr>
          <w:rFonts w:ascii="Calibri" w:cs="Calibri" w:eastAsia="Calibri" w:hAnsi="Calibri"/>
          <w:color w:val="2D3748"/>
          <w:sz w:val="20"/>
          <w:szCs w:val="20"/>
        </w:rPr>
        <w:t xml:space="preserve">▸  Déployer ATLAS (COO) — orchestration inter-agents active</w:t>
      </w:r>
    </w:p>
    <w:p>
      <w:pPr>
        <w:spacing w:after="60" w:before="60"/>
        <w:ind w:left="360"/>
      </w:pPr>
      <w:r>
        <w:rPr>
          <w:rFonts w:ascii="Calibri" w:cs="Calibri" w:eastAsia="Calibri" w:hAnsi="Calibri"/>
          <w:color w:val="2D3748"/>
          <w:sz w:val="20"/>
          <w:szCs w:val="20"/>
        </w:rPr>
        <w:t xml:space="preserve">▸  Tests de connectivité : n8n → PostgreSQL → Redis → Pinecone</w:t>
      </w:r>
    </w:p>
    <w:p>
      <w:pPr>
        <w:spacing w:after="60" w:before="60"/>
        <w:ind w:left="360"/>
      </w:pPr>
      <w:r>
        <w:rPr>
          <w:rFonts w:ascii="Calibri" w:cs="Calibri" w:eastAsia="Calibri" w:hAnsi="Calibri"/>
          <w:color w:val="2D3748"/>
          <w:sz w:val="20"/>
          <w:szCs w:val="20"/>
        </w:rPr>
        <w:t xml:space="preserve">▸  Validation THEMIS : Premier log SHA-256 généré et archivé</w:t>
      </w:r>
    </w:p>
    <w:p>
      <w:pPr>
        <w:spacing w:after="0" w:before="120"/>
      </w:pPr>
    </w:p>
    <w:p>
      <w:pPr>
        <w:pBdr>
          <w:top w:val="none" w:color="FFFFFF" w:sz="0"/>
          <w:bottom w:val="single" w:color="2E5F8A" w:sz="4"/>
          <w:left w:val="single" w:color="C9A84C" w:sz="16"/>
          <w:right w:val="none" w:color="FFFFFF" w:sz="0"/>
        </w:pBdr>
        <w:shd w:fill="EEF2F8" w:val="clear"/>
        <w:spacing w:after="150" w:before="300"/>
        <w:ind w:left="180"/>
      </w:pPr>
      <w:r>
        <w:rPr>
          <w:rFonts w:ascii="Calibri" w:cs="Calibri" w:eastAsia="Calibri" w:hAnsi="Calibri"/>
          <w:b/>
          <w:bCs/>
          <w:color w:val="1B2A4A"/>
          <w:sz w:val="28"/>
          <w:szCs w:val="28"/>
        </w:rPr>
        <w:t xml:space="preserve">5. Budget infrastructure mensuel</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Service</w:t>
            </w:r>
          </w:p>
        </w:tc>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Coût bas (CAD/mois)</w:t>
            </w:r>
          </w:p>
        </w:tc>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Coût haut (CAD/mois)</w:t>
            </w:r>
          </w:p>
        </w:tc>
        <w:tc>
          <w:tcPr>
            <w:tcBorders>
              <w:top w:val="single" w:color="1B2A4A" w:sz="4"/>
              <w:left w:val="single" w:color="1B2A4A" w:sz="4"/>
              <w:bottom w:val="single" w:color="1B2A4A" w:sz="4"/>
              <w:right w:val="single" w:color="1B2A4A" w:sz="4"/>
            </w:tcBorders>
            <w:shd w:fill="EEF2F8" w:val="clear"/>
            <w:tcMar>
              <w:top w:type="dxa" w:w="80"/>
              <w:left w:type="dxa" w:w="100"/>
              <w:bottom w:type="dxa" w:w="80"/>
              <w:right w:type="dxa" w:w="100"/>
            </w:tcMar>
          </w:tcPr>
          <w:p>
            <w:pPr>
              <w:jc w:val="center"/>
            </w:pPr>
            <w:r>
              <w:rPr>
                <w:rFonts w:ascii="Calibri" w:cs="Calibri" w:eastAsia="Calibri" w:hAnsi="Calibri"/>
                <w:b/>
                <w:bCs/>
                <w:color w:val="1B2A4A"/>
                <w:sz w:val="19"/>
                <w:szCs w:val="19"/>
              </w:rPr>
              <w:t xml:space="preserve">Notes</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Hetzner VPS CX52</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$65</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$65</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Prix fixe, facturation horaire</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Cloudflare (Pro)</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$25</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$25</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SSL, DDoS, analytics</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Pinecone Serverless</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$20</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$80</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Selon volume vectoriel</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Anthropic Claude API</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$380</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$650</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Claude Sonnet 4.6 + Haiku 4.5</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OpenAI GPT-4o (fallback)</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$0</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$80</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Uniquement si fallback activé</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PostgreSQL (Hetzner)</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$0</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$0</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Inclus dans VPS</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Sauvegardes Hetzner</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$8</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$15</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Snapshots hebdomadaires</w:t>
            </w:r>
          </w:p>
        </w:tc>
      </w:tr>
      <w:tr>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left"/>
            </w:pPr>
            <w:r>
              <w:rPr>
                <w:rFonts w:ascii="Calibri" w:cs="Calibri" w:eastAsia="Calibri" w:hAnsi="Calibri"/>
                <w:color w:val="2D3748"/>
                <w:sz w:val="18"/>
                <w:szCs w:val="18"/>
              </w:rPr>
              <w:t xml:space="preserve">Total estimé</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~$498 CAD</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~$915 CAD</w:t>
            </w:r>
          </w:p>
        </w:tc>
        <w:tc>
          <w:tcPr>
            <w:tcBorders>
              <w:top w:val="single" w:color="1B2A4A" w:sz="4"/>
              <w:left w:val="single" w:color="1B2A4A" w:sz="4"/>
              <w:bottom w:val="single" w:color="1B2A4A" w:sz="4"/>
              <w:right w:val="single" w:color="1B2A4A" w:sz="4"/>
            </w:tcBorders>
            <w:shd w:fill="FFFFFF" w:val="clear"/>
            <w:tcMar>
              <w:top w:type="dxa" w:w="60"/>
              <w:left w:type="dxa" w:w="100"/>
              <w:bottom w:type="dxa" w:w="60"/>
              <w:right w:type="dxa" w:w="100"/>
            </w:tcMar>
          </w:tcPr>
          <w:p>
            <w:pPr>
              <w:jc w:val="center"/>
            </w:pPr>
            <w:r>
              <w:rPr>
                <w:rFonts w:ascii="Calibri" w:cs="Calibri" w:eastAsia="Calibri" w:hAnsi="Calibri"/>
                <w:color w:val="2D3748"/>
                <w:sz w:val="18"/>
                <w:szCs w:val="18"/>
              </w:rPr>
              <w:t xml:space="preserve">&lt; 0,52% du MRR cible M5</w:t>
            </w:r>
          </w:p>
        </w:tc>
      </w:tr>
    </w:tbl>
    <w:p>
      <w:pPr>
        <w:spacing w:after="0" w:before="120"/>
      </w:pPr>
    </w:p>
    <w:p>
      <w:pPr>
        <w:pBdr>
          <w:top w:val="none" w:color="FFFFFF" w:sz="0"/>
          <w:bottom w:val="single" w:color="2E5F8A" w:sz="4"/>
          <w:left w:val="single" w:color="C9A84C" w:sz="16"/>
          <w:right w:val="none" w:color="FFFFFF" w:sz="0"/>
        </w:pBdr>
        <w:shd w:fill="EEF2F8" w:val="clear"/>
        <w:spacing w:after="150" w:before="300"/>
        <w:ind w:left="180"/>
      </w:pPr>
      <w:r>
        <w:rPr>
          <w:rFonts w:ascii="Calibri" w:cs="Calibri" w:eastAsia="Calibri" w:hAnsi="Calibri"/>
          <w:b/>
          <w:bCs/>
          <w:color w:val="1B2A4A"/>
          <w:sz w:val="28"/>
          <w:szCs w:val="28"/>
        </w:rPr>
        <w:t xml:space="preserve">6. Sécurité &amp; gestion des secrets</w:t>
      </w:r>
    </w:p>
    <w:p>
      <w:pPr>
        <w:spacing w:after="60" w:before="60"/>
        <w:ind w:left="360"/>
      </w:pPr>
      <w:r>
        <w:rPr>
          <w:rFonts w:ascii="Calibri" w:cs="Calibri" w:eastAsia="Calibri" w:hAnsi="Calibri"/>
          <w:color w:val="2D3748"/>
          <w:sz w:val="20"/>
          <w:szCs w:val="20"/>
        </w:rPr>
        <w:t xml:space="preserve">▸  Vault HashiCorp : tous les secrets injectés via variables d'environnement au démarrage</w:t>
      </w:r>
    </w:p>
    <w:p>
      <w:pPr>
        <w:spacing w:after="60" w:before="60"/>
        <w:ind w:left="360"/>
      </w:pPr>
      <w:r>
        <w:rPr>
          <w:rFonts w:ascii="Calibri" w:cs="Calibri" w:eastAsia="Calibri" w:hAnsi="Calibri"/>
          <w:color w:val="2D3748"/>
          <w:sz w:val="20"/>
          <w:szCs w:val="20"/>
        </w:rPr>
        <w:t xml:space="preserve">▸  Rotation automatique : clés API rotées selon la politique VULCAN (60-180 jours)</w:t>
      </w:r>
    </w:p>
    <w:p>
      <w:pPr>
        <w:spacing w:after="60" w:before="60"/>
        <w:ind w:left="360"/>
      </w:pPr>
      <w:r>
        <w:rPr>
          <w:rFonts w:ascii="Calibri" w:cs="Calibri" w:eastAsia="Calibri" w:hAnsi="Calibri"/>
          <w:color w:val="2D3748"/>
          <w:sz w:val="20"/>
          <w:szCs w:val="20"/>
        </w:rPr>
        <w:t xml:space="preserve">▸  Chiffrement at rest : PostgreSQL avec pgcrypto, disque Hetzner chiffré AES-256</w:t>
      </w:r>
    </w:p>
    <w:p>
      <w:pPr>
        <w:spacing w:after="60" w:before="60"/>
        <w:ind w:left="360"/>
      </w:pPr>
      <w:r>
        <w:rPr>
          <w:rFonts w:ascii="Calibri" w:cs="Calibri" w:eastAsia="Calibri" w:hAnsi="Calibri"/>
          <w:color w:val="2D3748"/>
          <w:sz w:val="20"/>
          <w:szCs w:val="20"/>
        </w:rPr>
        <w:t xml:space="preserve">▸  Chiffrement in transit : TLS 1.3 via Cloudflare sur toutes les communications</w:t>
      </w:r>
    </w:p>
    <w:p>
      <w:pPr>
        <w:spacing w:after="60" w:before="60"/>
        <w:ind w:left="360"/>
      </w:pPr>
      <w:r>
        <w:rPr>
          <w:rFonts w:ascii="Calibri" w:cs="Calibri" w:eastAsia="Calibri" w:hAnsi="Calibri"/>
          <w:color w:val="2D3748"/>
          <w:sz w:val="20"/>
          <w:szCs w:val="20"/>
        </w:rPr>
        <w:t xml:space="preserve">▸  Réseau Docker isolé : services non exposés directement sur l'internet public</w:t>
      </w:r>
    </w:p>
    <w:p>
      <w:pPr>
        <w:spacing w:after="60" w:before="60"/>
        <w:ind w:left="360"/>
      </w:pPr>
      <w:r>
        <w:rPr>
          <w:rFonts w:ascii="Calibri" w:cs="Calibri" w:eastAsia="Calibri" w:hAnsi="Calibri"/>
          <w:color w:val="2D3748"/>
          <w:sz w:val="20"/>
          <w:szCs w:val="20"/>
        </w:rPr>
        <w:t xml:space="preserve">▸  Audit THEMIS : toute modification de configuration logée avec SHA-256 + horodatage</w:t>
      </w:r>
    </w:p>
    <w:p>
      <w:pPr>
        <w:spacing w:after="60" w:before="60"/>
        <w:ind w:left="360"/>
      </w:pPr>
      <w:r>
        <w:rPr>
          <w:rFonts w:ascii="Calibri" w:cs="Calibri" w:eastAsia="Calibri" w:hAnsi="Calibri"/>
          <w:color w:val="2D3748"/>
          <w:sz w:val="20"/>
          <w:szCs w:val="20"/>
        </w:rPr>
        <w:t xml:space="preserve">▸  Accès SSH : clés ED25519 uniquement, authentification par mot de passe désactivée</w:t>
      </w:r>
    </w:p>
    <w:p>
      <w:pPr>
        <w:spacing w:after="0" w:before="120"/>
      </w:pPr>
    </w:p>
    <w:p>
      <w:r>
        <w:br w:type="pag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tblGrid>
      <w:tr>
        <w:tc>
          <w:tcPr>
            <w:tcBorders>
              <w:top w:val="single" w:color="1B2A4A" w:sz="4"/>
              <w:left w:val="single" w:color="C9A84C" w:sz="20"/>
              <w:bottom w:val="single" w:color="1B2A4A" w:sz="4"/>
              <w:right w:val="single" w:color="1B2A4A" w:sz="4"/>
            </w:tcBorders>
            <w:shd w:fill="EEF2F8" w:val="clear"/>
            <w:tcMar>
              <w:top w:type="dxa" w:w="150"/>
              <w:left w:type="dxa" w:w="250"/>
              <w:bottom w:type="dxa" w:w="150"/>
              <w:right w:type="dxa" w:w="250"/>
            </w:tcMar>
          </w:tcPr>
          <w:p>
            <w:pPr>
              <w:spacing w:after="100" w:before="80"/>
            </w:pPr>
            <w:r>
              <w:rPr>
                <w:rFonts w:ascii="Calibri" w:cs="Calibri" w:eastAsia="Calibri" w:hAnsi="Calibri"/>
                <w:b/>
                <w:bCs/>
                <w:color w:val="1B2A4A"/>
                <w:sz w:val="22"/>
                <w:szCs w:val="22"/>
              </w:rPr>
              <w:t xml:space="preserve">📑 Encadré final — Conformité ISO 42001 (Module 2)</w:t>
            </w:r>
          </w:p>
          <w:p>
            <w:pPr>
              <w:spacing w:after="100" w:before="0"/>
            </w:pPr>
            <w:r>
              <w:rPr>
                <w:rFonts w:ascii="Calibri" w:cs="Calibri" w:eastAsia="Calibri" w:hAnsi="Calibri"/>
                <w:color w:val="2E5F8A"/>
                <w:sz w:val="19"/>
                <w:szCs w:val="19"/>
              </w:rPr>
              <w:t xml:space="preserve">Mise en conformité vérifiée le 7 avril 2026</w:t>
            </w:r>
          </w:p>
          <w:p>
            <w:pPr>
              <w:spacing w:after="60" w:before="60"/>
            </w:pPr>
            <w:r>
              <w:rPr>
                <w:rFonts w:ascii="Calibri" w:cs="Calibri" w:eastAsia="Calibri" w:hAnsi="Calibri"/>
                <w:color w:val="2D3748"/>
                <w:sz w:val="18"/>
                <w:szCs w:val="18"/>
              </w:rPr>
              <w:t xml:space="preserve">✅ Gouvernance et pilotage — ATLAS (COO) orchestre le déploiement ; VULCAN (CIO) supervise l'infrastructure ; THEMIS (CAO) audite chaque étape</w:t>
            </w:r>
          </w:p>
          <w:p>
            <w:pPr>
              <w:spacing w:after="60" w:before="60"/>
            </w:pPr>
            <w:r>
              <w:rPr>
                <w:rFonts w:ascii="Calibri" w:cs="Calibri" w:eastAsia="Calibri" w:hAnsi="Calibri"/>
                <w:color w:val="2D3748"/>
                <w:sz w:val="18"/>
                <w:szCs w:val="18"/>
              </w:rPr>
              <w:t xml:space="preserve">✅ Transparence et documentation — Architecture documentée ; comparaison n8n/LangGraph justifiée ; sources APA 7e</w:t>
            </w:r>
          </w:p>
          <w:p>
            <w:pPr>
              <w:spacing w:after="60" w:before="60"/>
            </w:pPr>
            <w:r>
              <w:rPr>
                <w:rFonts w:ascii="Calibri" w:cs="Calibri" w:eastAsia="Calibri" w:hAnsi="Calibri"/>
                <w:color w:val="2D3748"/>
                <w:sz w:val="18"/>
                <w:szCs w:val="18"/>
              </w:rPr>
              <w:t xml:space="preserve">✅ Gestion des risques — Budget infra capé ; fallback GPT-4o prévu ; HashiCorp Vault pour les secrets</w:t>
            </w:r>
          </w:p>
          <w:p>
            <w:pPr>
              <w:spacing w:after="60" w:before="60"/>
            </w:pPr>
            <w:r>
              <w:rPr>
                <w:rFonts w:ascii="Calibri" w:cs="Calibri" w:eastAsia="Calibri" w:hAnsi="Calibri"/>
                <w:color w:val="2D3748"/>
                <w:sz w:val="18"/>
                <w:szCs w:val="18"/>
              </w:rPr>
              <w:t xml:space="preserve">✅ Responsabilité et imputabilité — Chaque agent a un rôle défini ; THEMIS trace toute modification ; logs immuables SHA-256</w:t>
            </w:r>
          </w:p>
          <w:p>
            <w:pPr>
              <w:spacing w:after="80" w:before="60"/>
            </w:pPr>
            <w:r>
              <w:rPr>
                <w:rFonts w:ascii="Calibri" w:cs="Calibri" w:eastAsia="Calibri" w:hAnsi="Calibri"/>
                <w:color w:val="2D3748"/>
                <w:sz w:val="18"/>
                <w:szCs w:val="18"/>
              </w:rPr>
              <w:t xml:space="preserve">✅ Respect de l'éthique et des parties prenantes — Données chiffrées ; LPRPDE respectée ; pas de données personnelles en clair</w:t>
            </w:r>
          </w:p>
        </w:tc>
      </w:tr>
    </w:tbl>
    <w:p>
      <w:pPr>
        <w:spacing w:after="0" w:before="200"/>
      </w:pPr>
    </w:p>
    <w:p>
      <w:pPr>
        <w:pBdr>
          <w:top w:val="none" w:color="FFFFFF" w:sz="0"/>
          <w:bottom w:val="single" w:color="2E5F8A" w:sz="4"/>
          <w:left w:val="single" w:color="C9A84C" w:sz="16"/>
          <w:right w:val="none" w:color="FFFFFF" w:sz="0"/>
        </w:pBdr>
        <w:shd w:fill="EEF2F8" w:val="clear"/>
        <w:spacing w:after="150" w:before="300"/>
        <w:ind w:left="180"/>
        <w:jc w:val="center"/>
      </w:pPr>
      <w:r>
        <w:rPr>
          <w:b/>
        </w:rPr>
        <w:t>Ouvrages cités</w:t>
      </w:r>
    </w:p>
    <w:p>
      <w:pPr>
        <w:spacing w:after="80" w:before="80"/>
        <w:ind w:left="720" w:hanging="720"/>
      </w:pPr>
      <w:r>
        <w:rPr>
          <w:rFonts w:ascii="Calibri" w:hAnsi="Calibri"/>
          <w:i w:val="0"/>
          <w:sz w:val="20"/>
        </w:rPr>
        <w:t xml:space="preserve">International Organization for Standardization. </w:t>
      </w:r>
      <w:r>
        <w:rPr>
          <w:rFonts w:ascii="Calibri" w:hAnsi="Calibri"/>
          <w:i/>
          <w:sz w:val="20"/>
        </w:rPr>
        <w:t>ISO/IEC 42001:2023 — Information Technology, Artificial Intelligence, Management System.</w:t>
      </w:r>
      <w:r>
        <w:rPr>
          <w:rFonts w:ascii="Calibri" w:hAnsi="Calibri"/>
          <w:i w:val="0"/>
          <w:sz w:val="20"/>
        </w:rPr>
        <w:t xml:space="preserve"> ISO, 2023, www.iso.org/standard/81230.html.</w:t>
      </w:r>
    </w:p>
    <w:p>
      <w:pPr>
        <w:spacing w:after="0" w:before="60"/>
      </w:pPr>
    </w:p>
    <w:p>
      <w:pPr>
        <w:spacing w:after="80" w:before="80"/>
        <w:ind w:left="720" w:hanging="720"/>
      </w:pPr>
      <w:r>
        <w:rPr>
          <w:rFonts w:ascii="Calibri" w:hAnsi="Calibri"/>
          <w:i w:val="0"/>
          <w:sz w:val="20"/>
        </w:rPr>
        <w:t xml:space="preserve">LangChain. </w:t>
      </w:r>
      <w:r>
        <w:rPr>
          <w:rFonts w:ascii="Calibri" w:hAnsi="Calibri"/>
          <w:i w:val="0"/>
          <w:sz w:val="20"/>
        </w:rPr>
        <w:t xml:space="preserve">« LangGraph v1.0 Release Notes ». </w:t>
      </w:r>
      <w:r>
        <w:rPr>
          <w:rFonts w:ascii="Calibri" w:hAnsi="Calibri"/>
          <w:i/>
          <w:sz w:val="20"/>
        </w:rPr>
        <w:t>LangChain Blog</w:t>
      </w:r>
      <w:r>
        <w:rPr>
          <w:rFonts w:ascii="Calibri" w:hAnsi="Calibri"/>
          <w:i w:val="0"/>
          <w:sz w:val="20"/>
        </w:rPr>
        <w:t>, 2025, blog.langchain.dev/langgraph-v1-stable/.</w:t>
      </w:r>
    </w:p>
    <w:p>
      <w:pPr>
        <w:spacing w:after="0" w:before="60"/>
      </w:pPr>
    </w:p>
    <w:p>
      <w:pPr>
        <w:spacing w:after="80" w:before="80"/>
        <w:ind w:left="720" w:hanging="720"/>
      </w:pPr>
      <w:r>
        <w:rPr>
          <w:rFonts w:ascii="Calibri" w:hAnsi="Calibri"/>
          <w:i w:val="0"/>
          <w:sz w:val="20"/>
        </w:rPr>
        <w:t xml:space="preserve">n8n. </w:t>
      </w:r>
      <w:r>
        <w:rPr>
          <w:rFonts w:ascii="Calibri" w:hAnsi="Calibri"/>
          <w:i w:val="0"/>
          <w:sz w:val="20"/>
        </w:rPr>
        <w:t xml:space="preserve">« Multi-Agent System : Frameworks &amp; Step-by-Step Tutorial ». </w:t>
      </w:r>
      <w:r>
        <w:rPr>
          <w:rFonts w:ascii="Calibri" w:hAnsi="Calibri"/>
          <w:i/>
          <w:sz w:val="20"/>
        </w:rPr>
        <w:t>n8n Blog</w:t>
      </w:r>
      <w:r>
        <w:rPr>
          <w:rFonts w:ascii="Calibri" w:hAnsi="Calibri"/>
          <w:i w:val="0"/>
          <w:sz w:val="20"/>
        </w:rPr>
        <w:t>, 9 janvier 2026, blog.n8n.io/multi-agent-systems/.</w:t>
      </w:r>
    </w:p>
    <w:p>
      <w:pPr>
        <w:spacing w:after="0" w:before="60"/>
      </w:pPr>
    </w:p>
    <w:p>
      <w:pPr>
        <w:spacing w:after="80" w:before="80"/>
        <w:ind w:left="720" w:hanging="720"/>
      </w:pPr>
      <w:r>
        <w:rPr>
          <w:rFonts w:ascii="Calibri" w:hAnsi="Calibri"/>
          <w:i w:val="0"/>
          <w:sz w:val="20"/>
        </w:rPr>
        <w:t xml:space="preserve">Intercode Consulting. </w:t>
      </w:r>
      <w:r>
        <w:rPr>
          <w:rFonts w:ascii="Calibri" w:hAnsi="Calibri"/>
          <w:i w:val="0"/>
          <w:sz w:val="20"/>
        </w:rPr>
        <w:t xml:space="preserve">« LangGraph vs n8n for AI Agents Development in 2026 ». </w:t>
      </w:r>
      <w:r>
        <w:rPr>
          <w:rFonts w:ascii="Calibri" w:hAnsi="Calibri"/>
          <w:i/>
          <w:sz w:val="20"/>
        </w:rPr>
        <w:t>Intercode</w:t>
      </w:r>
      <w:r>
        <w:rPr>
          <w:rFonts w:ascii="Calibri" w:hAnsi="Calibri"/>
          <w:i w:val="0"/>
          <w:sz w:val="20"/>
        </w:rPr>
        <w:t>, 2026, intercode.com/blog/ai-agent-development-langgraph-vs-n8n-in-2026.</w:t>
      </w:r>
    </w:p>
    <w:p>
      <w:pPr>
        <w:spacing w:after="0" w:before="60"/>
      </w:pPr>
    </w:p>
    <w:p>
      <w:pPr>
        <w:spacing w:after="80" w:before="80"/>
        <w:ind w:left="720" w:hanging="720"/>
      </w:pPr>
      <w:r>
        <w:rPr>
          <w:rFonts w:ascii="Calibri" w:hAnsi="Calibri"/>
          <w:i w:val="0"/>
          <w:sz w:val="20"/>
        </w:rPr>
        <w:t xml:space="preserve">Hetzner Online GmbH. </w:t>
      </w:r>
      <w:r>
        <w:rPr>
          <w:rFonts w:ascii="Calibri" w:hAnsi="Calibri"/>
          <w:i/>
          <w:sz w:val="20"/>
        </w:rPr>
        <w:t>Cloud Server Pricing.</w:t>
      </w:r>
      <w:r>
        <w:rPr>
          <w:rFonts w:ascii="Calibri" w:hAnsi="Calibri"/>
          <w:i w:val="0"/>
          <w:sz w:val="20"/>
        </w:rPr>
        <w:t xml:space="preserve"> Hetzner, 2026, www.hetzner.com/cloud.</w:t>
      </w:r>
    </w:p>
    <w:p>
      <w:pPr>
        <w:spacing w:after="0" w:before="60"/>
      </w:pPr>
    </w:p>
    <w:p>
      <w:pPr>
        <w:spacing w:after="80" w:before="80"/>
        <w:ind w:left="720" w:hanging="720"/>
      </w:pPr>
      <w:r>
        <w:rPr>
          <w:rFonts w:ascii="Calibri" w:hAnsi="Calibri"/>
          <w:i w:val="0"/>
          <w:sz w:val="20"/>
        </w:rPr>
        <w:t xml:space="preserve">Anthropic. </w:t>
      </w:r>
      <w:r>
        <w:rPr>
          <w:rFonts w:ascii="Calibri" w:hAnsi="Calibri"/>
          <w:i/>
          <w:sz w:val="20"/>
        </w:rPr>
        <w:t>Claude API Documentation.</w:t>
      </w:r>
      <w:r>
        <w:rPr>
          <w:rFonts w:ascii="Calibri" w:hAnsi="Calibri"/>
          <w:i w:val="0"/>
          <w:sz w:val="20"/>
        </w:rPr>
        <w:t xml:space="preserve"> Anthropic, 2026, docs.anthropic.com.</w:t>
      </w:r>
    </w:p>
    <w:p>
      <w:pPr>
        <w:spacing w:after="0" w:before="120"/>
      </w:pPr>
    </w:p>
    <w:p>
      <w:pPr>
        <w:pBdr>
          <w:top w:val="single" w:color="1B2A4A" w:sz="4"/>
          <w:bottom w:val="none" w:color="FFFFFF" w:sz="0"/>
          <w:left w:val="none" w:color="FFFFFF" w:sz="0"/>
          <w:right w:val="none" w:color="FFFFFF" w:sz="0"/>
        </w:pBdr>
        <w:spacing w:after="0" w:before="200"/>
        <w:jc w:val="center"/>
      </w:pPr>
      <w:r>
        <w:rPr>
          <w:rFonts w:ascii="Calibri" w:cs="Calibri" w:eastAsia="Calibri" w:hAnsi="Calibri"/>
          <w:color w:val="2E5F8A"/>
          <w:sz w:val="16"/>
          <w:szCs w:val="16"/>
        </w:rPr>
        <w:t xml:space="preserve">SYNTHEX Module 2 v1.0 · Plan Technique de Déploiement · Dr. Sylvain Gagné, Ph.D. · 7 avril 2026 · Confidentiel</w:t>
      </w:r>
    </w:p>
    <w:sectPr>
      <w:pgSz w:w="11906" w:h="16838" w:orient="portrait"/>
      <w:pgMar w:top="1440" w:right="18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D3748"/>
        <w:sz w:val="20"/>
        <w:szCs w:val="20"/>
      </w:rPr>
    </w:rPrDefault>
    <w:pPrDefault>
      <w:pPr>
        <w:spacing w:after="8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2026-04-07T21:36:12.625Z</dcterms:created>
  <dcterms:modified xsi:type="dcterms:W3CDTF">2026-04-07T21:36:12.625Z</dcterms:modified>
</cp:coreProperties>
</file>

<file path=docProps/custom.xml><?xml version="1.0" encoding="utf-8"?>
<Properties xmlns="http://schemas.openxmlformats.org/officeDocument/2006/custom-properties" xmlns:vt="http://schemas.openxmlformats.org/officeDocument/2006/docPropsVTypes"/>
</file>