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F517B">
      <w:pPr>
        <w:spacing w:before="200" w:after="100"/>
        <w:jc w:val="center"/>
      </w:pPr>
      <w:r>
        <w:rPr>
          <w:rFonts w:ascii="Arial" w:hAnsi="Arial" w:eastAsia="Arial" w:cs="Arial"/>
          <w:b/>
          <w:bCs/>
          <w:color w:val="1F3864"/>
          <w:sz w:val="44"/>
          <w:szCs w:val="44"/>
        </w:rPr>
        <w:t>GRILLE DES SEUILS DE VÉTO ET NIVEAUX D’AUTONOMIE</w:t>
      </w:r>
    </w:p>
    <w:p w14:paraId="3BB353FB">
      <w:pPr>
        <w:spacing w:before="0" w:after="200"/>
        <w:jc w:val="center"/>
      </w:pPr>
      <w:r>
        <w:rPr>
          <w:rFonts w:ascii="Arial" w:hAnsi="Arial" w:eastAsia="Arial" w:cs="Arial"/>
          <w:color w:val="666666"/>
          <w:sz w:val="20"/>
          <w:szCs w:val="20"/>
        </w:rPr>
        <w:t>SYNTHEX Corporation Agentique  |  Document SYNTHEX-VET-v1.0  |  Version 1.0  |  Approuvé le 2026-05-29</w:t>
      </w:r>
    </w:p>
    <w:p w14:paraId="40294BEF">
      <w:pPr>
        <w:pStyle w:val="2"/>
        <w:spacing w:before="360" w:after="180"/>
      </w:pPr>
      <w:r>
        <w:rPr>
          <w:rFonts w:ascii="Arial" w:hAnsi="Arial" w:eastAsia="Arial" w:cs="Arial"/>
          <w:b/>
          <w:bCs/>
          <w:color w:val="1F3864"/>
          <w:sz w:val="28"/>
          <w:szCs w:val="28"/>
        </w:rPr>
        <w:t>1. Grille principale — 5 niveaux d’autonomie</w:t>
      </w:r>
    </w:p>
    <w:tbl>
      <w:tblPr>
        <w:tblStyle w:val="9"/>
        <w:tblW w:w="15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27"/>
        <w:gridCol w:w="2659"/>
        <w:gridCol w:w="3988"/>
        <w:gridCol w:w="2991"/>
        <w:gridCol w:w="3035"/>
      </w:tblGrid>
      <w:tr w14:paraId="2B8FF765"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56FC6A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Niveau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05F2A4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Impact</w:t>
            </w:r>
          </w:p>
        </w:tc>
        <w:tc>
          <w:tcPr>
            <w:tcW w:w="2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2FED0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Exemples d’actions</w:t>
            </w:r>
          </w:p>
        </w:tc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2E90D0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Mode d’exécution</w:t>
            </w:r>
          </w:p>
        </w:tc>
        <w:tc>
          <w:tcPr>
            <w:tcW w:w="1826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99BADF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Agents concernés</w:t>
            </w:r>
          </w:p>
        </w:tc>
      </w:tr>
      <w:tr w14:paraId="1D47772E"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0EA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5C2B2A">
            <w:r>
              <w:rPr>
                <w:rFonts w:ascii="Arial" w:hAnsi="Arial" w:eastAsia="Arial" w:cs="Arial"/>
                <w:b/>
                <w:bCs/>
                <w:color w:val="2060A0"/>
                <w:sz w:val="20"/>
                <w:szCs w:val="20"/>
              </w:rPr>
              <w:t>NIVEAU 4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0EA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52CF6A"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Négligeable — Auto</w:t>
            </w:r>
          </w:p>
        </w:tc>
        <w:tc>
          <w:tcPr>
            <w:tcW w:w="2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E48DF">
            <w:r>
              <w:rPr>
                <w:rFonts w:ascii="Arial" w:hAnsi="Arial" w:eastAsia="Arial" w:cs="Arial"/>
                <w:sz w:val="19"/>
                <w:szCs w:val="19"/>
              </w:rPr>
              <w:t>Lecture de données, rapports internes, recherche web, rédaction brouillons, alertes surveillance</w:t>
            </w:r>
          </w:p>
        </w:tc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0EA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77A0D2">
            <w:r>
              <w:rPr>
                <w:rFonts w:ascii="Arial" w:hAnsi="Arial" w:eastAsia="Arial" w:cs="Arial"/>
                <w:b/>
                <w:bCs/>
                <w:color w:val="2060A0"/>
                <w:sz w:val="20"/>
                <w:szCs w:val="20"/>
              </w:rPr>
              <w:t>AUTOMATIQUE (aucune validation)</w:t>
            </w:r>
          </w:p>
        </w:tc>
        <w:tc>
          <w:tcPr>
            <w:tcW w:w="1826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53B1DA">
            <w:r>
              <w:rPr>
                <w:rFonts w:ascii="Arial" w:hAnsi="Arial" w:eastAsia="Arial" w:cs="Arial"/>
                <w:sz w:val="19"/>
                <w:szCs w:val="19"/>
              </w:rPr>
              <w:t>ARES, ATLAS, DIANA, HERMES, IRIS, MERCURY</w:t>
            </w:r>
          </w:p>
        </w:tc>
      </w:tr>
      <w:tr w14:paraId="75BF482B"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0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2C8651">
            <w:r>
              <w:rPr>
                <w:rFonts w:ascii="Arial" w:hAnsi="Arial" w:eastAsia="Arial" w:cs="Arial"/>
                <w:b/>
                <w:bCs/>
                <w:color w:val="208020"/>
                <w:sz w:val="20"/>
                <w:szCs w:val="20"/>
              </w:rPr>
              <w:t>NIVEAU 3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0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0410FF"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Faible — Auto + Log</w:t>
            </w:r>
          </w:p>
        </w:tc>
        <w:tc>
          <w:tcPr>
            <w:tcW w:w="2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F7757E">
            <w:r>
              <w:rPr>
                <w:rFonts w:ascii="Arial" w:hAnsi="Arial" w:eastAsia="Arial" w:cs="Arial"/>
                <w:sz w:val="19"/>
                <w:szCs w:val="19"/>
              </w:rPr>
              <w:t>Envoi notifications internes, mise a jour CRM sans données financières, création taches internes, rappels calendrier</w:t>
            </w:r>
          </w:p>
        </w:tc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0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4A20AA">
            <w:r>
              <w:rPr>
                <w:rFonts w:ascii="Arial" w:hAnsi="Arial" w:eastAsia="Arial" w:cs="Arial"/>
                <w:b/>
                <w:bCs/>
                <w:color w:val="208020"/>
                <w:sz w:val="20"/>
                <w:szCs w:val="20"/>
              </w:rPr>
              <w:t>AUTOMATIQUE + journalisation obligatoire</w:t>
            </w:r>
          </w:p>
        </w:tc>
        <w:tc>
          <w:tcPr>
            <w:tcW w:w="1826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A9FB33">
            <w:r>
              <w:rPr>
                <w:rFonts w:ascii="Arial" w:hAnsi="Arial" w:eastAsia="Arial" w:cs="Arial"/>
                <w:sz w:val="19"/>
                <w:szCs w:val="19"/>
              </w:rPr>
              <w:t>HERMES, MERCURY, MINERVA</w:t>
            </w:r>
          </w:p>
        </w:tc>
      </w:tr>
      <w:tr w14:paraId="11B63270"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21D4E9">
            <w:r>
              <w:rPr>
                <w:rFonts w:ascii="Arial" w:hAnsi="Arial" w:eastAsia="Arial" w:cs="Arial"/>
                <w:b/>
                <w:bCs/>
                <w:color w:val="E08000"/>
                <w:sz w:val="20"/>
                <w:szCs w:val="20"/>
              </w:rPr>
              <w:t>NIVEAU 2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787220"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Modéré — Notification</w:t>
            </w:r>
          </w:p>
        </w:tc>
        <w:tc>
          <w:tcPr>
            <w:tcW w:w="2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A0EBC1">
            <w:r>
              <w:rPr>
                <w:rFonts w:ascii="Arial" w:hAnsi="Arial" w:eastAsia="Arial" w:cs="Arial"/>
                <w:sz w:val="19"/>
                <w:szCs w:val="19"/>
              </w:rPr>
              <w:t>Communications clients non financières, création de contenu public, mise a jour de docs internes stratégiques, accès API tiers</w:t>
            </w:r>
          </w:p>
        </w:tc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AE8674">
            <w:r>
              <w:rPr>
                <w:rFonts w:ascii="Arial" w:hAnsi="Arial" w:eastAsia="Arial" w:cs="Arial"/>
                <w:b/>
                <w:bCs/>
                <w:color w:val="E08000"/>
                <w:sz w:val="20"/>
                <w:szCs w:val="20"/>
              </w:rPr>
              <w:t>EXÉCUTION AUTO + notification président dans 15 min</w:t>
            </w:r>
          </w:p>
        </w:tc>
        <w:tc>
          <w:tcPr>
            <w:tcW w:w="1826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5B2FD2">
            <w:r>
              <w:rPr>
                <w:rFonts w:ascii="Arial" w:hAnsi="Arial" w:eastAsia="Arial" w:cs="Arial"/>
                <w:sz w:val="19"/>
                <w:szCs w:val="19"/>
              </w:rPr>
              <w:t>APOLLO, PROMETHEUS, VULCAN</w:t>
            </w:r>
          </w:p>
        </w:tc>
      </w:tr>
      <w:tr w14:paraId="2C17F6C0"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D0B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BE1C72">
            <w:r>
              <w:rPr>
                <w:rFonts w:ascii="Arial" w:hAnsi="Arial" w:eastAsia="Arial" w:cs="Arial"/>
                <w:b/>
                <w:bCs/>
                <w:color w:val="E04000"/>
                <w:sz w:val="20"/>
                <w:szCs w:val="20"/>
              </w:rPr>
              <w:t>NIVEAU 1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D0B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11F6A4"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Élevé — Approbation</w:t>
            </w:r>
          </w:p>
        </w:tc>
        <w:tc>
          <w:tcPr>
            <w:tcW w:w="2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61A6EF">
            <w:r>
              <w:rPr>
                <w:rFonts w:ascii="Arial" w:hAnsi="Arial" w:eastAsia="Arial" w:cs="Arial"/>
                <w:sz w:val="19"/>
                <w:szCs w:val="19"/>
              </w:rPr>
              <w:t>Toute transaction financière &lt;500 CAD, contrats &lt;5 000 CAD, envoi emails clients officiels, modifications infrastructure</w:t>
            </w:r>
          </w:p>
        </w:tc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D0B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B2DBDB">
            <w:r>
              <w:rPr>
                <w:rFonts w:ascii="Arial" w:hAnsi="Arial" w:eastAsia="Arial" w:cs="Arial"/>
                <w:b/>
                <w:bCs/>
                <w:color w:val="E04000"/>
                <w:sz w:val="20"/>
                <w:szCs w:val="20"/>
              </w:rPr>
              <w:t>INTERRUPT LANGGRAPH — approbation président requise avant exécution</w:t>
            </w:r>
          </w:p>
        </w:tc>
        <w:tc>
          <w:tcPr>
            <w:tcW w:w="1826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7DA84A">
            <w:r>
              <w:rPr>
                <w:rFonts w:ascii="Arial" w:hAnsi="Arial" w:eastAsia="Arial" w:cs="Arial"/>
                <w:sz w:val="19"/>
                <w:szCs w:val="19"/>
              </w:rPr>
              <w:t>MERCURY (finances), HERMES (juridique), THEMIS</w:t>
            </w:r>
          </w:p>
        </w:tc>
      </w:tr>
      <w:tr w14:paraId="48DE8989"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B5DC35">
            <w:r>
              <w:rPr>
                <w:rFonts w:ascii="Arial" w:hAnsi="Arial" w:eastAsia="Arial" w:cs="Arial"/>
                <w:b/>
                <w:bCs/>
                <w:color w:val="CC0000"/>
                <w:sz w:val="20"/>
                <w:szCs w:val="20"/>
              </w:rPr>
              <w:t>NIVEAU 0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802767"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CRITIQUE — Véto</w:t>
            </w:r>
          </w:p>
        </w:tc>
        <w:tc>
          <w:tcPr>
            <w:tcW w:w="2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639D29">
            <w:r>
              <w:rPr>
                <w:rFonts w:ascii="Arial" w:hAnsi="Arial" w:eastAsia="Arial" w:cs="Arial"/>
                <w:sz w:val="19"/>
                <w:szCs w:val="19"/>
              </w:rPr>
              <w:t>Transaction &gt;500 CAD (seuil CGA), contrats &gt;5 000 CAD, modifications modèles de base, suppression de données, actions irreversibles, communications réglementaires</w:t>
            </w:r>
          </w:p>
        </w:tc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A27C27">
            <w:r>
              <w:rPr>
                <w:rFonts w:ascii="Arial" w:hAnsi="Arial" w:eastAsia="Arial" w:cs="Arial"/>
                <w:b/>
                <w:bCs/>
                <w:color w:val="CC0000"/>
                <w:sz w:val="20"/>
                <w:szCs w:val="20"/>
              </w:rPr>
              <w:t>BLOCAGE COMPLET — véto obligatoire président (délai max 24h)</w:t>
            </w:r>
          </w:p>
        </w:tc>
        <w:tc>
          <w:tcPr>
            <w:tcW w:w="1826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824BF5">
            <w:r>
              <w:rPr>
                <w:rFonts w:ascii="Arial" w:hAnsi="Arial" w:eastAsia="Arial" w:cs="Arial"/>
                <w:sz w:val="19"/>
                <w:szCs w:val="19"/>
              </w:rPr>
              <w:t>Tous agents — véto président obligatoire</w:t>
            </w:r>
          </w:p>
        </w:tc>
      </w:tr>
    </w:tbl>
    <w:p w14:paraId="417068D1">
      <w:pPr>
        <w:spacing w:before="80" w:after="80"/>
      </w:pPr>
    </w:p>
    <w:p w14:paraId="3C92FC74">
      <w:pPr>
        <w:pStyle w:val="2"/>
        <w:spacing w:before="360" w:after="180"/>
      </w:pPr>
      <w:r>
        <w:rPr>
          <w:rFonts w:ascii="Arial" w:hAnsi="Arial" w:eastAsia="Arial" w:cs="Arial"/>
          <w:b/>
          <w:bCs/>
          <w:color w:val="1F3864"/>
          <w:sz w:val="28"/>
          <w:szCs w:val="28"/>
        </w:rPr>
        <w:t>2. Seuils financiers spécifiques (CGA v2.0)</w:t>
      </w:r>
    </w:p>
    <w:tbl>
      <w:tblPr>
        <w:tblStyle w:val="9"/>
        <w:tblW w:w="15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00"/>
        <w:gridCol w:w="2500"/>
        <w:gridCol w:w="2500"/>
        <w:gridCol w:w="3000"/>
        <w:gridCol w:w="4500"/>
      </w:tblGrid>
      <w:tr w14:paraId="6E52170E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895632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Seuil</w:t>
            </w:r>
          </w:p>
        </w:tc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385319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Montant</w:t>
            </w:r>
          </w:p>
        </w:tc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3371DF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Déclencheur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D6F1BF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Action requise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F587FF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Niveau</w:t>
            </w:r>
          </w:p>
        </w:tc>
      </w:tr>
      <w:tr w14:paraId="4F215010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DB3DD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Notification CGA</w:t>
            </w:r>
          </w:p>
        </w:tc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67C6D6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Toute dépense &gt;= 500 CAD</w:t>
            </w:r>
          </w:p>
        </w:tc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4622EC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Agent MERCURY ou tout agent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2E1D8D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 xml:space="preserve">Notification </w:t>
            </w:r>
            <w:r>
              <w:rPr>
                <w:rFonts w:cs="Arial"/>
                <w:b w:val="0"/>
                <w:bCs w:val="0"/>
                <w:color w:val="000000"/>
                <w:sz w:val="20"/>
                <w:szCs w:val="20"/>
                <w:lang w:val="fr-FR"/>
              </w:rPr>
              <w:t>immédiate</w:t>
            </w:r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 xml:space="preserve"> au président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CC3DE7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NIVEAU 1 — notification</w:t>
            </w:r>
          </w:p>
        </w:tc>
      </w:tr>
      <w:tr w14:paraId="648707F9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2F11DD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Véto obligatoire CGA</w:t>
            </w:r>
          </w:p>
        </w:tc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23C862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&gt;1 000 CAD (seuil véto fort)</w:t>
            </w:r>
          </w:p>
        </w:tc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3F5CC4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Agent MERCURY ou tout agent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27CBFE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BLOCAGE — véto président obligatoire avant exécution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A3D70A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NIVEAU 0 — véto</w:t>
            </w:r>
          </w:p>
        </w:tc>
      </w:tr>
      <w:tr w14:paraId="3D2FF6D9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7BF623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Contrat/engagement</w:t>
            </w:r>
          </w:p>
        </w:tc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ACA55E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&gt;5 000 CAD</w:t>
            </w:r>
          </w:p>
        </w:tc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4D49EF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HERMES, THEMIS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3D8A50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Revue juridique + approbation président signée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791B7B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NIVEAU 0 — véto</w:t>
            </w:r>
          </w:p>
        </w:tc>
      </w:tr>
    </w:tbl>
    <w:p w14:paraId="1BB63B11">
      <w:pPr>
        <w:spacing w:before="80" w:after="80"/>
      </w:pPr>
    </w:p>
    <w:p w14:paraId="0A010496">
      <w:pPr>
        <w:pStyle w:val="2"/>
        <w:spacing w:before="360" w:after="180"/>
      </w:pPr>
      <w:r>
        <w:rPr>
          <w:rFonts w:ascii="Arial" w:hAnsi="Arial" w:eastAsia="Arial" w:cs="Arial"/>
          <w:b/>
          <w:bCs/>
          <w:color w:val="1F3864"/>
          <w:sz w:val="28"/>
          <w:szCs w:val="28"/>
        </w:rPr>
        <w:t xml:space="preserve">3. Test </w:t>
      </w:r>
      <w:r>
        <w:rPr>
          <w:rFonts w:cs="Arial"/>
          <w:b/>
          <w:bCs/>
          <w:color w:val="1F3864"/>
          <w:sz w:val="28"/>
          <w:szCs w:val="28"/>
          <w:lang w:val="fr-FR"/>
        </w:rPr>
        <w:t>irréversibilité</w:t>
      </w:r>
      <w:r>
        <w:rPr>
          <w:rFonts w:ascii="Arial" w:hAnsi="Arial" w:eastAsia="Arial" w:cs="Arial"/>
          <w:b/>
          <w:bCs/>
          <w:color w:val="1F3864"/>
          <w:sz w:val="28"/>
          <w:szCs w:val="28"/>
        </w:rPr>
        <w:t xml:space="preserve"> — Arbre de décision</w:t>
      </w:r>
    </w:p>
    <w:tbl>
      <w:tblPr>
        <w:tblStyle w:val="9"/>
        <w:tblW w:w="15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3000"/>
        <w:gridCol w:w="3000"/>
        <w:gridCol w:w="3000"/>
        <w:gridCol w:w="3000"/>
      </w:tblGrid>
      <w:tr w14:paraId="7DB1159E"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4A3A7A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Question de test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160B38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Oui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0022C1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Non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40420C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Incertain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8702C0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Priorité</w:t>
            </w:r>
          </w:p>
        </w:tc>
      </w:tr>
      <w:tr w14:paraId="016DDBC3"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6A057D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 xml:space="preserve">L’action est-elle </w:t>
            </w:r>
            <w:r>
              <w:rPr>
                <w:rFonts w:cs="Arial"/>
                <w:b w:val="0"/>
                <w:bCs w:val="0"/>
                <w:color w:val="000000"/>
                <w:sz w:val="20"/>
                <w:szCs w:val="20"/>
                <w:lang w:val="fr-FR"/>
              </w:rPr>
              <w:t>irréversible</w:t>
            </w:r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 ?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CF93B9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NIVEAU 0 — véto obligatoire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FF3B0A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Passer question 2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99642D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NIVEAU 0 par défaut (principe de précaution)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02A02C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CRITIQUE</w:t>
            </w:r>
          </w:p>
        </w:tc>
      </w:tr>
      <w:tr w14:paraId="7576A576"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4EC1BD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Implique-t-elle un mouvement financier &gt;=500 CAD ?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4B3CAC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NIVEAU 0 ou 1 selon montant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851CF1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Passer question 3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5A8804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NIVEAU 1 par défaut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B88BA5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ÉLEVÉ</w:t>
            </w:r>
          </w:p>
        </w:tc>
      </w:tr>
      <w:tr w14:paraId="3A847876"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351BEF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Affecte-t-elle un client externe (communication officielle) ?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8ABD4D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NIVEAU 1 minimum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6A9CA0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Passer question 4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49AD25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NIVEAU 1 par défaut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5C9149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ÉLEVÉ</w:t>
            </w:r>
          </w:p>
        </w:tc>
      </w:tr>
      <w:tr w14:paraId="452C5E83"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8EE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094C80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Modifié-t-elle l’infrastructure ou les modèles de base ?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8EE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CC17AA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NIVEAU 1 minimum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8EE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48BC96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Passer question 5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8EE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BB6413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NIVEAU 1 par défaut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8EE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22BAB2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MODÉRÉ-ÉLEVÉ</w:t>
            </w:r>
          </w:p>
        </w:tc>
      </w:tr>
      <w:tr w14:paraId="4554EB45"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0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90B780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Est-elle journalis</w:t>
            </w:r>
            <w:r>
              <w:rPr>
                <w:rFonts w:hint="default" w:cs="Arial"/>
                <w:b w:val="0"/>
                <w:bCs w:val="0"/>
                <w:color w:val="000000"/>
                <w:sz w:val="20"/>
                <w:szCs w:val="20"/>
                <w:lang w:val="fr-FR"/>
              </w:rPr>
              <w:t>é</w:t>
            </w:r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e et traitable en &lt;15 min notification ?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0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D0EFE0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NIVEAU 3-2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0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B4D845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NIVEAU 4 — automatique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0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A24DF7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NIVEAU 3 par défaut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0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BE39A4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FAIBLE</w:t>
            </w:r>
          </w:p>
        </w:tc>
      </w:tr>
    </w:tbl>
    <w:p w14:paraId="41ACCD4C">
      <w:pPr>
        <w:spacing w:before="80" w:after="80"/>
      </w:pPr>
    </w:p>
    <w:p w14:paraId="63E85362">
      <w:pPr>
        <w:pStyle w:val="2"/>
        <w:spacing w:before="360" w:after="180"/>
      </w:pPr>
      <w:r>
        <w:rPr>
          <w:rFonts w:ascii="Arial" w:hAnsi="Arial" w:eastAsia="Arial" w:cs="Arial"/>
          <w:b/>
          <w:bCs/>
          <w:color w:val="1F3864"/>
          <w:sz w:val="28"/>
          <w:szCs w:val="28"/>
        </w:rPr>
        <w:t>4. Implémentation technique — LangGraph HITL</w:t>
      </w:r>
    </w:p>
    <w:p w14:paraId="1C24BBF4">
      <w:pPr>
        <w:spacing w:before="80" w:after="80"/>
      </w:pPr>
      <w:r>
        <w:rPr>
          <w:rFonts w:ascii="Arial" w:hAnsi="Arial" w:eastAsia="Arial" w:cs="Arial"/>
          <w:sz w:val="22"/>
          <w:szCs w:val="22"/>
        </w:rPr>
        <w:t xml:space="preserve">Toutes les actions NIVEAU 0 et NIVEAU 1 sont </w:t>
      </w:r>
      <w:r>
        <w:rPr>
          <w:rFonts w:cs="Arial"/>
          <w:sz w:val="22"/>
          <w:szCs w:val="22"/>
          <w:lang w:val="fr-FR"/>
        </w:rPr>
        <w:t>implémentées</w:t>
      </w:r>
      <w:r>
        <w:rPr>
          <w:rFonts w:ascii="Arial" w:hAnsi="Arial" w:eastAsia="Arial" w:cs="Arial"/>
          <w:sz w:val="22"/>
          <w:szCs w:val="22"/>
        </w:rPr>
        <w:t xml:space="preserve"> avec le mécanisme interrupt() de LangGraph. L’agent est suspendu avant l’exécution, l’état est </w:t>
      </w:r>
      <w:r>
        <w:rPr>
          <w:rFonts w:cs="Arial"/>
          <w:sz w:val="22"/>
          <w:szCs w:val="22"/>
          <w:lang w:val="fr-FR"/>
        </w:rPr>
        <w:t>sérialisé</w:t>
      </w:r>
      <w:r>
        <w:rPr>
          <w:rFonts w:ascii="Arial" w:hAnsi="Arial" w:eastAsia="Arial" w:cs="Arial"/>
          <w:sz w:val="22"/>
          <w:szCs w:val="22"/>
        </w:rPr>
        <w:t xml:space="preserve"> (checkpointer), et le président reçoit une notification (ARES/HERMES) avec le contexte complet. Le code </w:t>
      </w:r>
      <w:r>
        <w:rPr>
          <w:rFonts w:cs="Arial"/>
          <w:sz w:val="22"/>
          <w:szCs w:val="22"/>
          <w:lang w:val="fr-FR"/>
        </w:rPr>
        <w:t>pré-interrupt</w:t>
      </w:r>
      <w:r>
        <w:rPr>
          <w:rFonts w:ascii="Arial" w:hAnsi="Arial" w:eastAsia="Arial" w:cs="Arial"/>
          <w:sz w:val="22"/>
          <w:szCs w:val="22"/>
        </w:rPr>
        <w:t xml:space="preserve"> garantit l’idempotence (pas d’effet de bord avant approbation).</w:t>
      </w:r>
    </w:p>
    <w:p w14:paraId="740161B5">
      <w:pPr>
        <w:spacing w:before="80" w:after="80"/>
      </w:pPr>
    </w:p>
    <w:tbl>
      <w:tblPr>
        <w:tblStyle w:val="9"/>
        <w:tblW w:w="15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00"/>
        <w:gridCol w:w="4000"/>
        <w:gridCol w:w="4000"/>
        <w:gridCol w:w="5000"/>
      </w:tblGrid>
      <w:tr w14:paraId="33CF595A"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C263FA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Niveau</w:t>
            </w:r>
          </w:p>
        </w:tc>
        <w:tc>
          <w:tcPr>
            <w:tcW w:w="4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1D6A2F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Mécanisme technique</w:t>
            </w:r>
          </w:p>
        </w:tc>
        <w:tc>
          <w:tcPr>
            <w:tcW w:w="4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444543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Délai max approbation</w:t>
            </w:r>
          </w:p>
        </w:tc>
        <w:tc>
          <w:tcPr>
            <w:tcW w:w="5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802C06"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Comportement si délai dépasse</w:t>
            </w:r>
          </w:p>
        </w:tc>
      </w:tr>
      <w:tr w14:paraId="4763594B"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6E028C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NIVEAU 0 — Véto</w:t>
            </w:r>
          </w:p>
        </w:tc>
        <w:tc>
          <w:tcPr>
            <w:tcW w:w="4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983085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interrupt() LangGraph + blocage complet + alerte critique</w:t>
            </w:r>
          </w:p>
        </w:tc>
        <w:tc>
          <w:tcPr>
            <w:tcW w:w="4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0BCEBB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24 heures</w:t>
            </w:r>
          </w:p>
        </w:tc>
        <w:tc>
          <w:tcPr>
            <w:tcW w:w="5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955984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Annulation automatique + rapport MINERVA au président</w:t>
            </w:r>
          </w:p>
        </w:tc>
      </w:tr>
      <w:tr w14:paraId="583DBF95"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9F6025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NIVEAU 1 — Approbation</w:t>
            </w:r>
          </w:p>
        </w:tc>
        <w:tc>
          <w:tcPr>
            <w:tcW w:w="4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217F92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interrupt() LangGraph + notification président</w:t>
            </w:r>
          </w:p>
        </w:tc>
        <w:tc>
          <w:tcPr>
            <w:tcW w:w="4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7565D6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4 heures (heures ouvrables)</w:t>
            </w:r>
          </w:p>
        </w:tc>
        <w:tc>
          <w:tcPr>
            <w:tcW w:w="5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0C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5FBACB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Escalade : 2e notification + rapport d’escalade THEMIS</w:t>
            </w:r>
          </w:p>
        </w:tc>
      </w:tr>
      <w:tr w14:paraId="6F807D3F"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8C1D6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NIVEAU 2 — Notification</w:t>
            </w:r>
          </w:p>
        </w:tc>
        <w:tc>
          <w:tcPr>
            <w:tcW w:w="4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C6BA4C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Exécution auto + log + webhook notification</w:t>
            </w:r>
          </w:p>
        </w:tc>
        <w:tc>
          <w:tcPr>
            <w:tcW w:w="4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DC4A25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>Notification dans 15 min (informationnel)</w:t>
            </w:r>
          </w:p>
        </w:tc>
        <w:tc>
          <w:tcPr>
            <w:tcW w:w="5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561AC5">
            <w:r>
              <w:rPr>
                <w:rFonts w:ascii="Arial" w:hAnsi="Arial" w:eastAsia="Arial" w:cs="Arial"/>
                <w:b w:val="0"/>
                <w:bCs w:val="0"/>
                <w:color w:val="000000"/>
                <w:sz w:val="20"/>
                <w:szCs w:val="20"/>
              </w:rPr>
              <w:t xml:space="preserve">Log d’alerte si notification </w:t>
            </w:r>
            <w:r>
              <w:rPr>
                <w:rFonts w:cs="Arial"/>
                <w:b w:val="0"/>
                <w:bCs w:val="0"/>
                <w:color w:val="000000"/>
                <w:sz w:val="20"/>
                <w:szCs w:val="20"/>
                <w:lang w:val="fr-FR"/>
              </w:rPr>
              <w:t>échouée</w:t>
            </w:r>
          </w:p>
        </w:tc>
      </w:tr>
    </w:tbl>
    <w:p w14:paraId="57D81568">
      <w:pPr>
        <w:spacing w:before="80" w:after="80"/>
      </w:pPr>
    </w:p>
    <w:tbl>
      <w:tblPr>
        <w:tblStyle w:val="9"/>
        <w:tblW w:w="15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00"/>
      </w:tblGrid>
      <w:tr w14:paraId="15F8BC18">
        <w:tc>
          <w:tcPr>
            <w:tcW w:w="15000" w:type="dxa"/>
            <w:tcBorders>
              <w:top w:val="single" w:color="1F3864" w:sz="0" w:space="0"/>
              <w:left w:val="single" w:color="1F3864" w:sz="0" w:space="0"/>
              <w:bottom w:val="single" w:color="1F3864" w:sz="0" w:space="0"/>
              <w:right w:val="single" w:color="1F3864" w:sz="0" w:space="0"/>
            </w:tcBorders>
            <w:shd w:val="clear" w:color="auto" w:fill="EFF3FB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DD70377">
            <w:pPr>
              <w:spacing w:after="100"/>
            </w:pPr>
            <w:r>
              <w:rPr>
                <w:rFonts w:ascii="Arial" w:hAnsi="Arial" w:eastAsia="Arial" w:cs="Arial"/>
                <w:b/>
                <w:bCs/>
                <w:color w:val="1F3864"/>
                <w:sz w:val="22"/>
                <w:szCs w:val="22"/>
              </w:rPr>
              <w:t>Encadré final — Conformité ISO 42001:2023</w:t>
            </w:r>
          </w:p>
          <w:p w14:paraId="4040AF22">
            <w:r>
              <w:rPr>
                <w:rFonts w:ascii="Arial" w:hAnsi="Arial" w:eastAsia="Arial" w:cs="Arial"/>
                <w:i/>
                <w:iCs/>
                <w:color w:val="555555"/>
                <w:sz w:val="19"/>
                <w:szCs w:val="19"/>
              </w:rPr>
              <w:t>Mise en conformité vérifiée le 2026-05-29</w:t>
            </w:r>
          </w:p>
          <w:p w14:paraId="746E2794">
            <w:r>
              <w:rPr>
                <w:rFonts w:ascii="Arial" w:hAnsi="Arial" w:eastAsia="Arial" w:cs="Arial"/>
                <w:sz w:val="19"/>
                <w:szCs w:val="19"/>
              </w:rPr>
              <w:t>[OK] Gouvernance et pilotage — seuils de véto formalises et approuvés (CGA v2.0, Clause 5 ISO 42001)</w:t>
            </w:r>
          </w:p>
          <w:p w14:paraId="252F2973">
            <w:r>
              <w:rPr>
                <w:rFonts w:ascii="Arial" w:hAnsi="Arial" w:eastAsia="Arial" w:cs="Arial"/>
                <w:sz w:val="19"/>
                <w:szCs w:val="19"/>
              </w:rPr>
              <w:t>[OK] Gestion des risques — gradation par niveau d’impact (Clause 6.1.2 ISO 42001, Annexe A.5)</w:t>
            </w:r>
          </w:p>
          <w:p w14:paraId="2BAF63B1">
            <w:r>
              <w:rPr>
                <w:rFonts w:ascii="Arial" w:hAnsi="Arial" w:eastAsia="Arial" w:cs="Arial"/>
                <w:sz w:val="19"/>
                <w:szCs w:val="19"/>
              </w:rPr>
              <w:t>[OK] Responsabilité et imputabilité — policy-as-code, traçabilité interrupt LangGraph (Clause 7, A.9 ISO 42001)</w:t>
            </w:r>
          </w:p>
          <w:p w14:paraId="598CC239">
            <w:r>
              <w:rPr>
                <w:rFonts w:ascii="Arial" w:hAnsi="Arial" w:eastAsia="Arial" w:cs="Arial"/>
                <w:sz w:val="19"/>
                <w:szCs w:val="19"/>
              </w:rPr>
              <w:t xml:space="preserve">[OK] Respect éthique — principe de précaution, classification des actions </w:t>
            </w:r>
            <w:r>
              <w:rPr>
                <w:rFonts w:cs="Arial"/>
                <w:sz w:val="19"/>
                <w:szCs w:val="19"/>
                <w:lang w:val="fr-FR"/>
              </w:rPr>
              <w:t>irréversibles</w:t>
            </w:r>
            <w:r>
              <w:rPr>
                <w:rFonts w:ascii="Arial" w:hAnsi="Arial" w:eastAsia="Arial" w:cs="Arial"/>
                <w:sz w:val="19"/>
                <w:szCs w:val="19"/>
              </w:rPr>
              <w:t xml:space="preserve"> (Annexe A.5, A.9 ISO 42001)</w:t>
            </w:r>
          </w:p>
          <w:p w14:paraId="5B5394E3">
            <w:pPr>
              <w:spacing w:before="100"/>
            </w:pPr>
            <w:r>
              <w:rPr>
                <w:rFonts w:ascii="Arial" w:hAnsi="Arial" w:eastAsia="Arial" w:cs="Arial"/>
                <w:i/>
                <w:iCs/>
                <w:color w:val="555555"/>
                <w:sz w:val="17"/>
                <w:szCs w:val="17"/>
              </w:rPr>
              <w:t>Applique la Norme ISO/IEC 42001:2023 — Système de Management de l’Intelligence Artificielle (AIMS)</w:t>
            </w:r>
          </w:p>
        </w:tc>
      </w:tr>
    </w:tbl>
    <w:p w14:paraId="4D7B70B9">
      <w:bookmarkStart w:id="0" w:name="_GoBack"/>
      <w:bookmarkEnd w:id="0"/>
    </w:p>
    <w:sectPr>
      <w:headerReference r:id="rId3" w:type="default"/>
      <w:footerReference r:id="rId4" w:type="default"/>
      <w:pgSz w:w="16838" w:h="11906"/>
      <w:pgMar w:top="1000" w:right="900" w:bottom="1000" w:left="9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86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292D1">
    <w:pPr>
      <w:pBdr>
        <w:top w:val="single" w:color="1F3864" w:sz="4" w:space="1"/>
      </w:pBdr>
    </w:pPr>
    <w:r>
      <w:rPr>
        <w:rFonts w:ascii="Arial" w:hAnsi="Arial" w:eastAsia="Arial" w:cs="Arial"/>
        <w:color w:val="888888"/>
        <w:sz w:val="16"/>
        <w:szCs w:val="16"/>
      </w:rPr>
      <w:t xml:space="preserve">CONFIDENTIEL — Approuve par Dr Sylvain Gagne, President SYNTHEX  |  Page </w:t>
    </w:r>
    <w:r>
      <w:rPr>
        <w:rFonts w:ascii="Arial" w:hAnsi="Arial" w:eastAsia="Arial" w:cs="Arial"/>
        <w:color w:val="888888"/>
        <w:sz w:val="16"/>
        <w:szCs w:val="16"/>
      </w:rPr>
      <w:fldChar w:fldCharType="begin"/>
    </w:r>
    <w:r>
      <w:rPr>
        <w:rFonts w:ascii="Arial" w:hAnsi="Arial" w:eastAsia="Arial" w:cs="Arial"/>
        <w:color w:val="888888"/>
        <w:sz w:val="16"/>
        <w:szCs w:val="16"/>
      </w:rPr>
      <w:instrText xml:space="preserve">PAGE</w:instrText>
    </w:r>
    <w:r>
      <w:rPr>
        <w:rFonts w:ascii="Arial" w:hAnsi="Arial" w:eastAsia="Arial" w:cs="Arial"/>
        <w:color w:val="888888"/>
        <w:sz w:val="16"/>
        <w:szCs w:val="16"/>
      </w:rPr>
      <w:fldChar w:fldCharType="separate"/>
    </w:r>
    <w:r>
      <w:rPr>
        <w:rFonts w:ascii="Arial" w:hAnsi="Arial" w:eastAsia="Arial" w:cs="Arial"/>
        <w:color w:val="888888"/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A62AE">
    <w:pPr>
      <w:pBdr>
        <w:bottom w:val="single" w:color="1F3864" w:sz="4" w:space="1"/>
      </w:pBdr>
    </w:pPr>
    <w:r>
      <w:rPr>
        <w:rFonts w:ascii="Arial" w:hAnsi="Arial" w:eastAsia="Arial" w:cs="Arial"/>
        <w:color w:val="1F3864"/>
        <w:sz w:val="18"/>
        <w:szCs w:val="18"/>
      </w:rPr>
      <w:t>SYNTHEX Corporation — Grille des Seuils de Veto et Niveaux d'Autonomie  |  SYNTHEX-VET-v1.0  |  2026-05-29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8"/>
  <w:doNotDisplayPageBoundaries w:val="1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530F71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Arial" w:cs="Arial"/>
      <w:sz w:val="22"/>
      <w:szCs w:val="22"/>
    </w:rPr>
  </w:style>
  <w:style w:type="paragraph" w:styleId="2">
    <w:name w:val="heading 1"/>
    <w:next w:val="1"/>
    <w:qFormat/>
    <w:uiPriority w:val="0"/>
    <w:pPr>
      <w:spacing w:before="360" w:after="180"/>
      <w:outlineLvl w:val="0"/>
    </w:pPr>
    <w:rPr>
      <w:rFonts w:ascii="Arial" w:hAnsi="Arial" w:eastAsia="Arial" w:cs="Arial"/>
      <w:b/>
      <w:bCs/>
      <w:color w:val="1F3864"/>
      <w:sz w:val="28"/>
      <w:szCs w:val="28"/>
    </w:rPr>
  </w:style>
  <w:style w:type="paragraph" w:styleId="3">
    <w:name w:val="heading 2"/>
    <w:next w:val="1"/>
    <w:qFormat/>
    <w:uiPriority w:val="0"/>
    <w:pPr>
      <w:spacing w:before="240" w:after="120"/>
      <w:outlineLvl w:val="1"/>
    </w:pPr>
    <w:rPr>
      <w:rFonts w:ascii="Arial" w:hAnsi="Arial" w:eastAsia="Arial" w:cs="Arial"/>
      <w:b/>
      <w:bCs/>
      <w:color w:val="2E4057"/>
      <w:sz w:val="24"/>
      <w:szCs w:val="24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2"/>
      <w:szCs w:val="22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uiPriority w:val="99"/>
    <w:rPr>
      <w:vertAlign w:val="superscript"/>
    </w:rPr>
  </w:style>
  <w:style w:type="paragraph" w:styleId="11">
    <w:name w:val="endnote text"/>
    <w:link w:val="18"/>
    <w:semiHidden/>
    <w:unhideWhenUsed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character" w:styleId="12">
    <w:name w:val="footnote reference"/>
    <w:semiHidden/>
    <w:unhideWhenUsed/>
    <w:uiPriority w:val="99"/>
    <w:rPr>
      <w:vertAlign w:val="superscript"/>
    </w:rPr>
  </w:style>
  <w:style w:type="paragraph" w:styleId="13">
    <w:name w:val="footnote text"/>
    <w:link w:val="17"/>
    <w:semiHidden/>
    <w:unhideWhenUsed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paragraph" w:styleId="15">
    <w:name w:val="Title"/>
    <w:qFormat/>
    <w:uiPriority w:val="0"/>
    <w:rPr>
      <w:rFonts w:ascii="Arial" w:hAnsi="Arial" w:eastAsia="Arial" w:cs="Arial"/>
      <w:sz w:val="56"/>
      <w:szCs w:val="56"/>
    </w:rPr>
  </w:style>
  <w:style w:type="paragraph" w:styleId="16">
    <w:name w:val="List Paragraph"/>
    <w:qFormat/>
    <w:uiPriority w:val="0"/>
    <w:rPr>
      <w:rFonts w:ascii="Arial" w:hAnsi="Arial" w:eastAsia="Arial" w:cs="Arial"/>
      <w:sz w:val="22"/>
      <w:szCs w:val="22"/>
    </w:rPr>
  </w:style>
  <w:style w:type="character" w:customStyle="1" w:styleId="17">
    <w:name w:val="Footnote Text Char"/>
    <w:link w:val="13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2</TotalTime>
  <ScaleCrop>false</ScaleCrop>
  <LinksUpToDate>false</LinksUpToDate>
  <Application>WPS Office_12.1.25867.25867_F1E327BC-269C-435d-A152-05C5408002CA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WPS_1770405454</cp:lastModifiedBy>
  <dcterms:modified xsi:type="dcterms:W3CDTF">2026-05-30T14:21:18Z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1033-12.1.25867.25867</vt:lpwstr>
  </property>
  <property fmtid="{D5CDD505-2E9C-101B-9397-08002B2CF9AE}" pid="3" name="ICV">
    <vt:lpwstr>1F11EFE383E2BD159E2A1B6A2B791609_42</vt:lpwstr>
  </property>
</Properties>
</file>